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A0F97" w:rsidP="00CB15C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8"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E03A9D">
            <w:pPr>
              <w:pStyle w:val="berschrift4"/>
              <w:spacing w:after="40"/>
              <w:jc w:val="right"/>
            </w:pPr>
            <w:r>
              <w:t>Lösungen zum</w:t>
            </w:r>
            <w:r>
              <w:br/>
            </w:r>
            <w:r w:rsidR="00E03A9D">
              <w:t>Arbeitsblatt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B064CC"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0150"/>
                  <wp:effectExtent l="19050" t="0" r="9525" b="0"/>
                  <wp:docPr id="3" name="Bild 1" descr="\\Sfblfile\schultv\03 Internet\content\schulfernsehen\ONLINE_DATEIEN\3270_dossier_orchester\3270_img\3270_img_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blfile\schultv\03 Internet\content\schulfernsehen\ONLINE_DATEIEN\3270_dossier_orchester\3270_img\3270_img_b_1.jpg"/>
                          <pic:cNvPicPr>
                            <a:picLocks noChangeAspect="1" noChangeArrowheads="1"/>
                          </pic:cNvPicPr>
                        </pic:nvPicPr>
                        <pic:blipFill>
                          <a:blip r:embed="rId9" cstate="print"/>
                          <a:srcRect/>
                          <a:stretch>
                            <a:fillRect/>
                          </a:stretch>
                        </pic:blipFill>
                        <pic:spPr bwMode="auto">
                          <a:xfrm>
                            <a:off x="0" y="0"/>
                            <a:ext cx="1666875" cy="1200150"/>
                          </a:xfrm>
                          <a:prstGeom prst="rect">
                            <a:avLst/>
                          </a:prstGeom>
                          <a:noFill/>
                          <a:ln w="9525">
                            <a:noFill/>
                            <a:miter lim="800000"/>
                            <a:headEnd/>
                            <a:tailEnd/>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3"/>
            <w:shd w:val="clear" w:color="auto" w:fill="C7C0B9"/>
          </w:tcPr>
          <w:p w:rsidR="00A427DC" w:rsidRPr="00BA744B" w:rsidRDefault="00B064CC" w:rsidP="00BA744B">
            <w:pPr>
              <w:rPr>
                <w:rFonts w:ascii="Arial" w:hAnsi="Arial"/>
                <w:sz w:val="18"/>
                <w:highlight w:val="lightGray"/>
              </w:rPr>
            </w:pPr>
            <w:r>
              <w:rPr>
                <w:rFonts w:ascii="Arial" w:hAnsi="Arial"/>
                <w:sz w:val="18"/>
              </w:rPr>
              <w:t>Musik, Berufskunde für PS, Sek I und II</w:t>
            </w: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B064CC" w:rsidRPr="00BA744B" w:rsidTr="00086C9A">
        <w:trPr>
          <w:cantSplit/>
          <w:trHeight w:hRule="exact" w:val="600"/>
        </w:trPr>
        <w:tc>
          <w:tcPr>
            <w:tcW w:w="2770" w:type="dxa"/>
            <w:vMerge/>
            <w:vAlign w:val="center"/>
          </w:tcPr>
          <w:p w:rsidR="00B064CC" w:rsidRPr="00BA744B" w:rsidRDefault="00B064CC" w:rsidP="00086C9A">
            <w:pPr>
              <w:tabs>
                <w:tab w:val="right" w:pos="9072"/>
              </w:tabs>
              <w:jc w:val="center"/>
              <w:rPr>
                <w:rFonts w:ascii="Arial" w:hAnsi="Arial"/>
                <w:sz w:val="10"/>
              </w:rPr>
            </w:pPr>
          </w:p>
        </w:tc>
        <w:tc>
          <w:tcPr>
            <w:tcW w:w="180" w:type="dxa"/>
            <w:vMerge/>
            <w:vAlign w:val="center"/>
          </w:tcPr>
          <w:p w:rsidR="00B064CC" w:rsidRPr="00BA744B" w:rsidRDefault="00B064CC" w:rsidP="00086C9A">
            <w:pPr>
              <w:tabs>
                <w:tab w:val="right" w:pos="9072"/>
              </w:tabs>
              <w:jc w:val="center"/>
              <w:rPr>
                <w:rFonts w:ascii="Arial" w:hAnsi="Arial"/>
                <w:sz w:val="10"/>
              </w:rPr>
            </w:pPr>
          </w:p>
        </w:tc>
        <w:tc>
          <w:tcPr>
            <w:tcW w:w="6265" w:type="dxa"/>
            <w:gridSpan w:val="4"/>
            <w:shd w:val="clear" w:color="auto" w:fill="EAEAEA"/>
          </w:tcPr>
          <w:p w:rsidR="00B064CC" w:rsidRDefault="00B064CC" w:rsidP="00651C99">
            <w:pPr>
              <w:rPr>
                <w:rFonts w:ascii="Arial" w:hAnsi="Arial"/>
                <w:b/>
                <w:bCs/>
                <w:sz w:val="24"/>
              </w:rPr>
            </w:pPr>
          </w:p>
          <w:p w:rsidR="00B064CC" w:rsidRDefault="00B064CC" w:rsidP="00651C99">
            <w:pPr>
              <w:rPr>
                <w:rFonts w:ascii="Arial" w:hAnsi="Arial"/>
                <w:highlight w:val="lightGray"/>
              </w:rPr>
            </w:pPr>
            <w:r>
              <w:rPr>
                <w:rFonts w:ascii="Arial" w:hAnsi="Arial"/>
                <w:b/>
                <w:bCs/>
                <w:sz w:val="24"/>
              </w:rPr>
              <w:t>Dossier Orchester</w:t>
            </w:r>
          </w:p>
        </w:tc>
      </w:tr>
      <w:tr w:rsidR="00B064CC" w:rsidRPr="00BA744B" w:rsidTr="00086C9A">
        <w:trPr>
          <w:cantSplit/>
          <w:trHeight w:val="1100"/>
        </w:trPr>
        <w:tc>
          <w:tcPr>
            <w:tcW w:w="2770" w:type="dxa"/>
            <w:vMerge/>
            <w:tcBorders>
              <w:bottom w:val="nil"/>
            </w:tcBorders>
            <w:vAlign w:val="center"/>
          </w:tcPr>
          <w:p w:rsidR="00B064CC" w:rsidRPr="00BA744B" w:rsidRDefault="00B064CC" w:rsidP="00086C9A">
            <w:pPr>
              <w:tabs>
                <w:tab w:val="right" w:pos="9072"/>
              </w:tabs>
              <w:jc w:val="center"/>
              <w:rPr>
                <w:rFonts w:ascii="Arial" w:hAnsi="Arial"/>
                <w:sz w:val="10"/>
              </w:rPr>
            </w:pPr>
          </w:p>
        </w:tc>
        <w:tc>
          <w:tcPr>
            <w:tcW w:w="180" w:type="dxa"/>
            <w:vMerge/>
            <w:tcBorders>
              <w:bottom w:val="nil"/>
            </w:tcBorders>
            <w:vAlign w:val="center"/>
          </w:tcPr>
          <w:p w:rsidR="00B064CC" w:rsidRPr="00BA744B" w:rsidRDefault="00B064CC" w:rsidP="00086C9A">
            <w:pPr>
              <w:tabs>
                <w:tab w:val="right" w:pos="9072"/>
              </w:tabs>
              <w:jc w:val="center"/>
              <w:rPr>
                <w:rFonts w:ascii="Arial" w:hAnsi="Arial"/>
                <w:sz w:val="10"/>
              </w:rPr>
            </w:pPr>
          </w:p>
        </w:tc>
        <w:tc>
          <w:tcPr>
            <w:tcW w:w="6265" w:type="dxa"/>
            <w:gridSpan w:val="4"/>
            <w:tcBorders>
              <w:bottom w:val="nil"/>
            </w:tcBorders>
            <w:shd w:val="clear" w:color="auto" w:fill="EAEAEA"/>
          </w:tcPr>
          <w:p w:rsidR="00B064CC" w:rsidRDefault="00B064CC" w:rsidP="00651C99">
            <w:pPr>
              <w:rPr>
                <w:rFonts w:ascii="Arial" w:hAnsi="Arial"/>
                <w:sz w:val="20"/>
              </w:rPr>
            </w:pPr>
            <w:r>
              <w:rPr>
                <w:rFonts w:ascii="Arial" w:hAnsi="Arial"/>
                <w:sz w:val="20"/>
              </w:rPr>
              <w:t xml:space="preserve">Der lange Weg zur Aufführung – Geigen und Geigenbauer – </w:t>
            </w:r>
          </w:p>
          <w:p w:rsidR="00B064CC" w:rsidRDefault="00B064CC" w:rsidP="00651C99">
            <w:pPr>
              <w:rPr>
                <w:rFonts w:ascii="Arial" w:hAnsi="Arial"/>
                <w:sz w:val="20"/>
              </w:rPr>
            </w:pPr>
            <w:r>
              <w:rPr>
                <w:rFonts w:ascii="Arial" w:hAnsi="Arial"/>
                <w:sz w:val="20"/>
              </w:rPr>
              <w:t>Musik komponieren – Profi am Schlagzeug</w:t>
            </w:r>
          </w:p>
          <w:p w:rsidR="00B064CC" w:rsidRDefault="00B064CC" w:rsidP="00651C99">
            <w:pPr>
              <w:rPr>
                <w:rFonts w:ascii="Arial" w:hAnsi="Arial"/>
                <w:sz w:val="20"/>
              </w:rPr>
            </w:pPr>
          </w:p>
          <w:p w:rsidR="00B064CC" w:rsidRDefault="00B064CC" w:rsidP="00651C99">
            <w:pPr>
              <w:rPr>
                <w:rFonts w:ascii="Arial" w:hAnsi="Arial"/>
                <w:highlight w:val="lightGray"/>
              </w:rPr>
            </w:pPr>
            <w:r>
              <w:rPr>
                <w:rFonts w:ascii="Arial" w:hAnsi="Arial"/>
                <w:sz w:val="20"/>
              </w:rPr>
              <w:t>29:45 Minuten</w:t>
            </w: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B064CC" w:rsidRDefault="00B064CC" w:rsidP="00B064CC">
            <w:pPr>
              <w:numPr>
                <w:ilvl w:val="0"/>
                <w:numId w:val="7"/>
              </w:numPr>
              <w:rPr>
                <w:rFonts w:ascii="Arial" w:hAnsi="Arial"/>
                <w:b/>
                <w:sz w:val="20"/>
              </w:rPr>
            </w:pPr>
            <w:r>
              <w:rPr>
                <w:rFonts w:ascii="Arial" w:hAnsi="Arial"/>
                <w:b/>
                <w:sz w:val="20"/>
              </w:rPr>
              <w:t>Welche Besonderheiten hat das Schweizer Jugend-Sinfonie-Orchester gegenüber einem «gewöhnlichen» O</w:t>
            </w:r>
            <w:r>
              <w:rPr>
                <w:rFonts w:ascii="Arial" w:hAnsi="Arial"/>
                <w:b/>
                <w:sz w:val="20"/>
              </w:rPr>
              <w:t>r</w:t>
            </w:r>
            <w:r>
              <w:rPr>
                <w:rFonts w:ascii="Arial" w:hAnsi="Arial"/>
                <w:b/>
                <w:sz w:val="20"/>
              </w:rPr>
              <w:t>chester?</w:t>
            </w:r>
          </w:p>
          <w:p w:rsidR="00B064CC" w:rsidRDefault="00B064CC" w:rsidP="00B064CC">
            <w:pPr>
              <w:pStyle w:val="Textkrper-Zeileneinzug"/>
              <w:ind w:left="397"/>
              <w:rPr>
                <w:rFonts w:cs="Arial"/>
                <w:szCs w:val="20"/>
                <w:lang w:eastAsia="en-US"/>
              </w:rPr>
            </w:pPr>
            <w:r>
              <w:rPr>
                <w:rFonts w:cs="Arial"/>
                <w:szCs w:val="20"/>
                <w:lang w:eastAsia="en-US"/>
              </w:rPr>
              <w:t>Nur Musiker im Alter zwischen 15 und 25 Jahren können mi</w:t>
            </w:r>
            <w:r>
              <w:rPr>
                <w:rFonts w:cs="Arial"/>
                <w:szCs w:val="20"/>
                <w:lang w:eastAsia="en-US"/>
              </w:rPr>
              <w:t>t</w:t>
            </w:r>
            <w:r>
              <w:rPr>
                <w:rFonts w:cs="Arial"/>
                <w:szCs w:val="20"/>
                <w:lang w:eastAsia="en-US"/>
              </w:rPr>
              <w:t>spielen. Das Orchester nimmt (wegen der Altersbeschränkung) immer wieder neuen Nachwuchs auf. Alle Orchestermusiker spielen gratis. Das Orchester besteht nicht ständig, sondern formiert sich nur zweimal pro Jahr. Jedes neue Programm wird in einer intensiven Probenwoche erarbeitet.</w:t>
            </w:r>
          </w:p>
          <w:p w:rsidR="00B064CC" w:rsidRDefault="00B064CC" w:rsidP="00B064CC">
            <w:pPr>
              <w:rPr>
                <w:rFonts w:ascii="Arial" w:hAnsi="Arial"/>
                <w:sz w:val="20"/>
              </w:rPr>
            </w:pPr>
          </w:p>
          <w:p w:rsidR="00B064CC" w:rsidRDefault="00B064CC" w:rsidP="00B064CC">
            <w:pPr>
              <w:numPr>
                <w:ilvl w:val="0"/>
                <w:numId w:val="7"/>
              </w:numPr>
              <w:rPr>
                <w:rFonts w:ascii="Arial" w:hAnsi="Arial"/>
                <w:b/>
                <w:sz w:val="20"/>
              </w:rPr>
            </w:pPr>
            <w:r>
              <w:rPr>
                <w:rFonts w:ascii="Arial" w:hAnsi="Arial"/>
                <w:b/>
                <w:sz w:val="20"/>
              </w:rPr>
              <w:t xml:space="preserve">Was schätzen die Teilnehmer </w:t>
            </w:r>
            <w:proofErr w:type="gramStart"/>
            <w:r>
              <w:rPr>
                <w:rFonts w:ascii="Arial" w:hAnsi="Arial"/>
                <w:b/>
                <w:sz w:val="20"/>
              </w:rPr>
              <w:t>am</w:t>
            </w:r>
            <w:proofErr w:type="gramEnd"/>
            <w:r>
              <w:rPr>
                <w:rFonts w:ascii="Arial" w:hAnsi="Arial"/>
                <w:b/>
                <w:sz w:val="20"/>
              </w:rPr>
              <w:t xml:space="preserve"> Schweizer Jugend-Sinfonie-Orchester besonders?</w:t>
            </w:r>
          </w:p>
          <w:p w:rsidR="00B064CC" w:rsidRDefault="00B064CC" w:rsidP="00B064CC">
            <w:pPr>
              <w:pStyle w:val="Textkrper-Einzug2"/>
              <w:ind w:left="397" w:firstLine="0"/>
              <w:rPr>
                <w:rFonts w:cs="Arial"/>
              </w:rPr>
            </w:pPr>
            <w:r>
              <w:rPr>
                <w:rFonts w:cs="Arial"/>
              </w:rPr>
              <w:t>Sie können Erfahrungen im Orchesterspiel sammeln, es macht ihnen Spass, und durch die Probenwoche, in der alle an einem besonderen Ort zusammen sind, lernt man Leute mit gleichen Interessen kennen.</w:t>
            </w:r>
          </w:p>
          <w:p w:rsidR="00B064CC" w:rsidRDefault="00B064CC" w:rsidP="00B064CC">
            <w:pPr>
              <w:rPr>
                <w:rFonts w:ascii="Arial" w:hAnsi="Arial"/>
                <w:sz w:val="20"/>
              </w:rPr>
            </w:pPr>
          </w:p>
          <w:p w:rsidR="00B064CC" w:rsidRDefault="00B064CC" w:rsidP="00B064CC">
            <w:pPr>
              <w:numPr>
                <w:ilvl w:val="0"/>
                <w:numId w:val="7"/>
              </w:numPr>
              <w:rPr>
                <w:rFonts w:ascii="Arial" w:hAnsi="Arial"/>
                <w:b/>
                <w:sz w:val="20"/>
              </w:rPr>
            </w:pPr>
            <w:r>
              <w:rPr>
                <w:rFonts w:ascii="Arial" w:hAnsi="Arial"/>
                <w:b/>
                <w:sz w:val="20"/>
              </w:rPr>
              <w:t>Aus welchen Klanggruppen setzt sich ein Sinfonie-Orchester zusammen und welche Instrumente bilden diese verschiedenen Klanggruppen?</w:t>
            </w:r>
          </w:p>
          <w:p w:rsidR="00B064CC" w:rsidRDefault="00B064CC" w:rsidP="00B064CC">
            <w:pPr>
              <w:pStyle w:val="Textkrper-Einzug2"/>
              <w:ind w:left="397" w:firstLine="0"/>
              <w:rPr>
                <w:rFonts w:cs="Arial"/>
              </w:rPr>
            </w:pPr>
            <w:r>
              <w:rPr>
                <w:rFonts w:cs="Arial"/>
              </w:rPr>
              <w:t>Streichinstrumente: Geige (od. Violine), Bratsche (od. Viola), (</w:t>
            </w:r>
            <w:proofErr w:type="spellStart"/>
            <w:r>
              <w:rPr>
                <w:rFonts w:cs="Arial"/>
              </w:rPr>
              <w:t>Violon</w:t>
            </w:r>
            <w:proofErr w:type="spellEnd"/>
            <w:r>
              <w:rPr>
                <w:rFonts w:cs="Arial"/>
              </w:rPr>
              <w:t>-)Cello, Kontrabass. Holzblasinstrumente: Flöte (auch Piccolo), Oboe (und Englischhorn), Klarinette (auch Bassklar</w:t>
            </w:r>
            <w:r>
              <w:rPr>
                <w:rFonts w:cs="Arial"/>
              </w:rPr>
              <w:t>i</w:t>
            </w:r>
            <w:r>
              <w:rPr>
                <w:rFonts w:cs="Arial"/>
              </w:rPr>
              <w:t>nette), Fagott (auch Kontrafagott). Blechblasinstrumente: Horn, Trompete, Posaune, Tuba. Schlaginstrumente: Kesselpauke, grosse Trommel, kleine Trommel (und viele weitere).</w:t>
            </w:r>
          </w:p>
          <w:p w:rsidR="00B064CC" w:rsidRDefault="00B064CC" w:rsidP="00B064CC">
            <w:pPr>
              <w:pStyle w:val="Textkrper-Einzug2"/>
              <w:ind w:left="397" w:firstLine="0"/>
              <w:rPr>
                <w:rFonts w:cs="Arial"/>
              </w:rPr>
            </w:pPr>
            <w:r>
              <w:rPr>
                <w:rFonts w:cs="Arial"/>
              </w:rPr>
              <w:t>Die Harfe kann zusammen mit den Streichinstrumenten zu den Saiteninstrumenten gerechnet werden – wo dann aber auch das Klavier und das Cembalo dazugehören.</w:t>
            </w:r>
          </w:p>
          <w:p w:rsidR="00B064CC" w:rsidRDefault="00B064CC" w:rsidP="00B064CC">
            <w:pPr>
              <w:rPr>
                <w:rFonts w:ascii="Arial" w:hAnsi="Arial"/>
                <w:sz w:val="20"/>
              </w:rPr>
            </w:pPr>
          </w:p>
          <w:p w:rsidR="00B064CC" w:rsidRDefault="00B064CC" w:rsidP="00B064CC">
            <w:pPr>
              <w:numPr>
                <w:ilvl w:val="0"/>
                <w:numId w:val="7"/>
              </w:numPr>
              <w:rPr>
                <w:rFonts w:ascii="Arial" w:hAnsi="Arial"/>
                <w:b/>
                <w:sz w:val="20"/>
              </w:rPr>
            </w:pPr>
            <w:r>
              <w:rPr>
                <w:rFonts w:ascii="Arial" w:hAnsi="Arial"/>
                <w:b/>
                <w:sz w:val="20"/>
              </w:rPr>
              <w:t>Welches sind die Hauptaufgaben des Dirigenten?</w:t>
            </w:r>
          </w:p>
          <w:p w:rsidR="00B064CC" w:rsidRDefault="00B064CC" w:rsidP="00B064CC">
            <w:pPr>
              <w:numPr>
                <w:ilvl w:val="1"/>
                <w:numId w:val="8"/>
              </w:numPr>
              <w:rPr>
                <w:rFonts w:ascii="Arial" w:hAnsi="Arial"/>
                <w:sz w:val="20"/>
              </w:rPr>
            </w:pPr>
            <w:r>
              <w:rPr>
                <w:rFonts w:ascii="Arial" w:hAnsi="Arial"/>
                <w:sz w:val="20"/>
              </w:rPr>
              <w:t>Tempo angeben: Wie schnell soll gespielt werden?</w:t>
            </w:r>
          </w:p>
          <w:p w:rsidR="00B064CC" w:rsidRDefault="00B064CC" w:rsidP="00B064CC">
            <w:pPr>
              <w:numPr>
                <w:ilvl w:val="1"/>
                <w:numId w:val="8"/>
              </w:numPr>
              <w:rPr>
                <w:rFonts w:ascii="Arial" w:hAnsi="Arial"/>
                <w:sz w:val="20"/>
              </w:rPr>
            </w:pPr>
            <w:r>
              <w:rPr>
                <w:rFonts w:ascii="Arial" w:hAnsi="Arial"/>
                <w:sz w:val="20"/>
              </w:rPr>
              <w:t>Zusammenspiel kontrollieren: falsche Töne und richtige T</w:t>
            </w:r>
            <w:r>
              <w:rPr>
                <w:rFonts w:ascii="Arial" w:hAnsi="Arial"/>
                <w:sz w:val="20"/>
              </w:rPr>
              <w:t>ö</w:t>
            </w:r>
            <w:r>
              <w:rPr>
                <w:rFonts w:ascii="Arial" w:hAnsi="Arial"/>
                <w:sz w:val="20"/>
              </w:rPr>
              <w:t>ne im falschen Moment korrigieren.</w:t>
            </w:r>
          </w:p>
          <w:p w:rsidR="00B064CC" w:rsidRDefault="00B064CC" w:rsidP="00B064CC">
            <w:pPr>
              <w:numPr>
                <w:ilvl w:val="1"/>
                <w:numId w:val="8"/>
              </w:numPr>
              <w:rPr>
                <w:rFonts w:ascii="Arial" w:hAnsi="Arial"/>
                <w:sz w:val="20"/>
              </w:rPr>
            </w:pPr>
            <w:r>
              <w:rPr>
                <w:rFonts w:ascii="Arial" w:hAnsi="Arial"/>
                <w:sz w:val="20"/>
              </w:rPr>
              <w:t>Einsätze geben: vor allem, wenn ein Instrument mit einem Solo führend hervortritt.</w:t>
            </w:r>
          </w:p>
          <w:p w:rsidR="00B064CC" w:rsidRDefault="00B064CC" w:rsidP="00B064CC">
            <w:pPr>
              <w:numPr>
                <w:ilvl w:val="1"/>
                <w:numId w:val="8"/>
              </w:numPr>
              <w:rPr>
                <w:rFonts w:ascii="Arial" w:hAnsi="Arial"/>
                <w:sz w:val="20"/>
              </w:rPr>
            </w:pPr>
            <w:r>
              <w:rPr>
                <w:rFonts w:ascii="Arial" w:hAnsi="Arial"/>
                <w:sz w:val="20"/>
              </w:rPr>
              <w:t>den «Geist der Musik» vermitteln, damit die Musiker verst</w:t>
            </w:r>
            <w:r>
              <w:rPr>
                <w:rFonts w:ascii="Arial" w:hAnsi="Arial"/>
                <w:sz w:val="20"/>
              </w:rPr>
              <w:t>e</w:t>
            </w:r>
            <w:r>
              <w:rPr>
                <w:rFonts w:ascii="Arial" w:hAnsi="Arial"/>
                <w:sz w:val="20"/>
              </w:rPr>
              <w:t>hen, was sie mit ihren Tönen ausdrücken sollen – eigentlich die wesentliche Aufgabe des Dirigenten.</w:t>
            </w:r>
          </w:p>
          <w:p w:rsidR="00B064CC" w:rsidRDefault="00B064CC" w:rsidP="00B064CC">
            <w:pPr>
              <w:numPr>
                <w:ilvl w:val="1"/>
                <w:numId w:val="8"/>
              </w:numPr>
              <w:rPr>
                <w:rFonts w:ascii="Arial" w:hAnsi="Arial"/>
                <w:sz w:val="20"/>
              </w:rPr>
            </w:pPr>
            <w:r>
              <w:rPr>
                <w:rFonts w:ascii="Arial" w:hAnsi="Arial"/>
                <w:sz w:val="20"/>
              </w:rPr>
              <w:t>bei der Aufführung eine Spannung erzeugen, die alle Mus</w:t>
            </w:r>
            <w:r>
              <w:rPr>
                <w:rFonts w:ascii="Arial" w:hAnsi="Arial"/>
                <w:sz w:val="20"/>
              </w:rPr>
              <w:t>i</w:t>
            </w:r>
            <w:r>
              <w:rPr>
                <w:rFonts w:ascii="Arial" w:hAnsi="Arial"/>
                <w:sz w:val="20"/>
              </w:rPr>
              <w:t>ker des Orchesters erfüllt und mitreisst – das entscheidet letztlich über die Qualität eines Dirigenten.</w:t>
            </w:r>
          </w:p>
          <w:p w:rsidR="00B064CC" w:rsidRDefault="00B064CC" w:rsidP="00B064CC">
            <w:pPr>
              <w:rPr>
                <w:rFonts w:ascii="Arial" w:hAnsi="Arial"/>
                <w:sz w:val="20"/>
              </w:rPr>
            </w:pPr>
          </w:p>
          <w:p w:rsidR="00B064CC" w:rsidRDefault="00B064CC" w:rsidP="00B064CC">
            <w:pPr>
              <w:rPr>
                <w:rFonts w:ascii="Arial" w:hAnsi="Arial"/>
                <w:sz w:val="20"/>
              </w:rPr>
            </w:pPr>
          </w:p>
          <w:p w:rsidR="00B064CC" w:rsidRDefault="00B064CC" w:rsidP="00B064CC">
            <w:pPr>
              <w:rPr>
                <w:rFonts w:ascii="Arial" w:hAnsi="Arial"/>
                <w:sz w:val="20"/>
              </w:rPr>
            </w:pPr>
          </w:p>
          <w:p w:rsidR="00B064CC" w:rsidRDefault="00B064CC" w:rsidP="00B064CC">
            <w:pPr>
              <w:rPr>
                <w:rFonts w:ascii="Arial" w:hAnsi="Arial"/>
                <w:sz w:val="20"/>
              </w:rPr>
            </w:pPr>
          </w:p>
          <w:p w:rsidR="00B064CC" w:rsidRDefault="00B064CC" w:rsidP="00B064CC">
            <w:pPr>
              <w:rPr>
                <w:rFonts w:ascii="Arial" w:hAnsi="Arial"/>
                <w:sz w:val="20"/>
              </w:rPr>
            </w:pPr>
          </w:p>
          <w:p w:rsidR="00B064CC" w:rsidRDefault="00B064CC" w:rsidP="00B064CC">
            <w:pPr>
              <w:numPr>
                <w:ilvl w:val="0"/>
                <w:numId w:val="7"/>
              </w:numPr>
              <w:rPr>
                <w:rFonts w:ascii="Arial" w:hAnsi="Arial"/>
                <w:b/>
                <w:sz w:val="20"/>
              </w:rPr>
            </w:pPr>
            <w:r>
              <w:rPr>
                <w:rFonts w:ascii="Arial" w:hAnsi="Arial"/>
                <w:b/>
                <w:sz w:val="20"/>
              </w:rPr>
              <w:lastRenderedPageBreak/>
              <w:t>Findest du es gerechtfertigt, dass der Dirigent, der doch selbst keinen Ton produziert, trotzdem als entscheidend d</w:t>
            </w:r>
            <w:r>
              <w:rPr>
                <w:rFonts w:ascii="Arial" w:hAnsi="Arial"/>
                <w:b/>
                <w:sz w:val="20"/>
              </w:rPr>
              <w:t>a</w:t>
            </w:r>
            <w:r>
              <w:rPr>
                <w:rFonts w:ascii="Arial" w:hAnsi="Arial"/>
                <w:b/>
                <w:sz w:val="20"/>
              </w:rPr>
              <w:t>für gilt, ob ein Orchester langweilig oder berauschend spielt?</w:t>
            </w:r>
          </w:p>
          <w:p w:rsidR="00B064CC" w:rsidRDefault="00B064CC" w:rsidP="00B064CC">
            <w:pPr>
              <w:pStyle w:val="Textkrper-Zeileneinzug"/>
              <w:ind w:left="397"/>
              <w:rPr>
                <w:rFonts w:cs="Arial"/>
              </w:rPr>
            </w:pPr>
            <w:r>
              <w:rPr>
                <w:rFonts w:cs="Arial"/>
              </w:rPr>
              <w:t>Es ist tatsächlich so, dass es Dirigenten gibt, die ein Orchester zu ganz aussergewöhnlichen Aufführungen führen. Das kann so wirken, als wäre man dabei, wie die Musik selbst erst entsteht – und eben nicht nur «einfach», wie sie nach den Noten reprod</w:t>
            </w:r>
            <w:r>
              <w:rPr>
                <w:rFonts w:cs="Arial"/>
              </w:rPr>
              <w:t>u</w:t>
            </w:r>
            <w:r>
              <w:rPr>
                <w:rFonts w:cs="Arial"/>
              </w:rPr>
              <w:t>ziert wird. Auf der anderen Seite spielen aber auch Äusserlic</w:t>
            </w:r>
            <w:r>
              <w:rPr>
                <w:rFonts w:cs="Arial"/>
              </w:rPr>
              <w:t>h</w:t>
            </w:r>
            <w:r>
              <w:rPr>
                <w:rFonts w:cs="Arial"/>
              </w:rPr>
              <w:t xml:space="preserve">keiten eine Rolle, wenn ein Dirigent die Aura eines Popstars hat, und nicht alle berühmten Dirigenten sind auch zu Recht berühmt </w:t>
            </w:r>
          </w:p>
          <w:p w:rsidR="00B064CC" w:rsidRDefault="00B064CC" w:rsidP="00B064CC">
            <w:pPr>
              <w:rPr>
                <w:rFonts w:ascii="Arial" w:hAnsi="Arial"/>
                <w:sz w:val="20"/>
              </w:rPr>
            </w:pPr>
          </w:p>
          <w:p w:rsidR="00B064CC" w:rsidRDefault="00B064CC" w:rsidP="00B064CC">
            <w:pPr>
              <w:numPr>
                <w:ilvl w:val="0"/>
                <w:numId w:val="7"/>
              </w:numPr>
              <w:rPr>
                <w:rFonts w:ascii="Arial" w:hAnsi="Arial"/>
                <w:b/>
                <w:sz w:val="20"/>
              </w:rPr>
            </w:pPr>
            <w:r>
              <w:rPr>
                <w:rFonts w:ascii="Arial" w:hAnsi="Arial"/>
                <w:b/>
                <w:sz w:val="20"/>
              </w:rPr>
              <w:t>Worum geht es – über die Töne hinaus – in der 5. Sinfonie von Dimitri Schostakowitsch? Warum sollten die Musiker diesen Hintergrund auch kennen, wenn sie die Sinfonie spielen?</w:t>
            </w:r>
          </w:p>
          <w:p w:rsidR="00B064CC" w:rsidRDefault="00B064CC" w:rsidP="00B064CC">
            <w:pPr>
              <w:pStyle w:val="Textkrper-Zeileneinzug"/>
              <w:ind w:left="397"/>
              <w:rPr>
                <w:rFonts w:cs="Arial"/>
              </w:rPr>
            </w:pPr>
            <w:r>
              <w:rPr>
                <w:rFonts w:cs="Arial"/>
              </w:rPr>
              <w:t>Dimitri Schostakowitsch (1906–1975) hat in seiner 5. Sinfonie von 1937 das Klima der Unterdrückung in der Sowjetunion m</w:t>
            </w:r>
            <w:r>
              <w:rPr>
                <w:rFonts w:cs="Arial"/>
              </w:rPr>
              <w:t>u</w:t>
            </w:r>
            <w:r>
              <w:rPr>
                <w:rFonts w:cs="Arial"/>
              </w:rPr>
              <w:t xml:space="preserve">sikalisch dargestellt. Wenn die Musiker das wissen, spielen sie anders. Sie können zum Beispiel </w:t>
            </w:r>
            <w:proofErr w:type="gramStart"/>
            <w:r>
              <w:rPr>
                <w:rFonts w:cs="Arial"/>
              </w:rPr>
              <w:t>Angst</w:t>
            </w:r>
            <w:proofErr w:type="gramEnd"/>
            <w:r>
              <w:rPr>
                <w:rFonts w:cs="Arial"/>
              </w:rPr>
              <w:t xml:space="preserve"> oder Einschüchterung spürbar werden lassen. Musik ist in ihrer Bedeutung so offen, dass sie eine Stimmung oder gerade ihr Gegenteil ausdrücken kann, abhängig davon, wie sie gespielt wird. Ein Marsch wirkt sehr schnell mitreissend. Damit er die Brutalität von Gewalt da</w:t>
            </w:r>
            <w:r>
              <w:rPr>
                <w:rFonts w:cs="Arial"/>
              </w:rPr>
              <w:t>r</w:t>
            </w:r>
            <w:r>
              <w:rPr>
                <w:rFonts w:cs="Arial"/>
              </w:rPr>
              <w:t>stellt, muss er ganz hart und maschinenhaft gespielt werden.</w:t>
            </w:r>
          </w:p>
          <w:p w:rsidR="00B064CC" w:rsidRDefault="00B064CC" w:rsidP="00B064CC">
            <w:pPr>
              <w:rPr>
                <w:rFonts w:ascii="Arial" w:hAnsi="Arial"/>
                <w:sz w:val="20"/>
              </w:rPr>
            </w:pPr>
          </w:p>
          <w:p w:rsidR="00B064CC" w:rsidRDefault="00B064CC" w:rsidP="00B064CC">
            <w:pPr>
              <w:numPr>
                <w:ilvl w:val="0"/>
                <w:numId w:val="7"/>
              </w:numPr>
              <w:rPr>
                <w:rFonts w:ascii="Arial" w:hAnsi="Arial"/>
                <w:b/>
                <w:sz w:val="20"/>
              </w:rPr>
            </w:pPr>
            <w:r>
              <w:rPr>
                <w:rFonts w:ascii="Arial" w:hAnsi="Arial"/>
                <w:b/>
                <w:sz w:val="20"/>
              </w:rPr>
              <w:t xml:space="preserve">Wie viele </w:t>
            </w:r>
            <w:proofErr w:type="spellStart"/>
            <w:r>
              <w:rPr>
                <w:rFonts w:ascii="Arial" w:hAnsi="Arial"/>
                <w:b/>
                <w:sz w:val="20"/>
              </w:rPr>
              <w:t>Billette</w:t>
            </w:r>
            <w:proofErr w:type="spellEnd"/>
            <w:r>
              <w:rPr>
                <w:rFonts w:ascii="Arial" w:hAnsi="Arial"/>
                <w:b/>
                <w:sz w:val="20"/>
              </w:rPr>
              <w:t xml:space="preserve"> zu 25 Franken müssten verkauft werden, damit die durchschnittlichen Kosten eines Konzerts des Schweizer Jugend-Sinfonie-Orchesters gedeckt wären?</w:t>
            </w:r>
          </w:p>
          <w:p w:rsidR="00B064CC" w:rsidRDefault="00B064CC" w:rsidP="00B064CC">
            <w:pPr>
              <w:pStyle w:val="Textkrper-Zeileneinzug"/>
              <w:ind w:left="397"/>
              <w:rPr>
                <w:rFonts w:cs="Arial"/>
              </w:rPr>
            </w:pPr>
            <w:r>
              <w:rPr>
                <w:rFonts w:cs="Arial"/>
              </w:rPr>
              <w:t>(25 Franken sind ein Durchschnitt: Die Preise für ein Konzert des Schweizer Jugend-Sinfonie-Orchesters, abgekürzt SJSO liegen zwischen 20 und 40 Franken – und Jugendliche, Stude</w:t>
            </w:r>
            <w:r>
              <w:rPr>
                <w:rFonts w:cs="Arial"/>
              </w:rPr>
              <w:t>n</w:t>
            </w:r>
            <w:r>
              <w:rPr>
                <w:rFonts w:cs="Arial"/>
              </w:rPr>
              <w:t>ten und Senioren zahlen nur 10 bis 20 Franken).</w:t>
            </w:r>
          </w:p>
          <w:p w:rsidR="00B064CC" w:rsidRDefault="00B064CC" w:rsidP="00B064CC">
            <w:pPr>
              <w:pStyle w:val="Kopfzeile"/>
              <w:tabs>
                <w:tab w:val="clear" w:pos="4536"/>
                <w:tab w:val="clear" w:pos="9072"/>
              </w:tabs>
              <w:ind w:left="397"/>
              <w:rPr>
                <w:rFonts w:ascii="Arial" w:hAnsi="Arial"/>
                <w:sz w:val="20"/>
              </w:rPr>
            </w:pPr>
            <w:r>
              <w:rPr>
                <w:rFonts w:ascii="Arial" w:hAnsi="Arial"/>
                <w:sz w:val="20"/>
              </w:rPr>
              <w:t>2000 verkaufte Karten à 25 Franken würden die 50 000 Franken ergeben, die ein Konzert des SJSO durchschnittlich kostet. So gross sind aber die Säle gar nicht. Die Tonhalle in Zürich hat ca.1500, das Casino Basel ca.1000 Plätze. Die Kosten können also selbst dann nicht gedeckt werden, wenn (wie es beim SJSO ja der Fall ist) die Musiker alle gratis spielen. Umso mehr braucht ein professionelles Orchester, das Löhne zahlen muss, öffentliche Unterstützung, damit es ein Konzertleben gibt.</w:t>
            </w:r>
          </w:p>
          <w:p w:rsidR="00480092" w:rsidRPr="00BA744B" w:rsidRDefault="00480092">
            <w:pPr>
              <w:pStyle w:val="Kopfzeile"/>
              <w:tabs>
                <w:tab w:val="clear" w:pos="4536"/>
                <w:tab w:val="clear" w:pos="9072"/>
              </w:tabs>
              <w:rPr>
                <w:rFonts w:ascii="Arial" w:hAnsi="Arial"/>
                <w:sz w:val="20"/>
              </w:rPr>
            </w:pPr>
          </w:p>
        </w:tc>
      </w:tr>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691A" w:rsidRPr="00BA744B"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CC" w:rsidRDefault="00B064CC">
      <w:r>
        <w:separator/>
      </w:r>
    </w:p>
  </w:endnote>
  <w:endnote w:type="continuationSeparator" w:id="0">
    <w:p w:rsidR="00B064CC" w:rsidRDefault="00B064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C53D8A"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D07B85">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D07B85" w:rsidRPr="00D07B85">
              <w:rPr>
                <w:rFonts w:ascii="Arial" w:hAnsi="Arial"/>
                <w:b/>
                <w:noProof/>
                <w:sz w:val="16"/>
                <w:szCs w:val="16"/>
              </w:rPr>
              <w:t>2</w:t>
            </w:r>
          </w:fldSimple>
        </w:p>
      </w:tc>
    </w:tr>
  </w:tbl>
  <w:p w:rsidR="00065561" w:rsidRDefault="00065561">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C53D8A"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D07B85">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D07B85" w:rsidRPr="00D07B85">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CC" w:rsidRDefault="00B064CC">
      <w:r>
        <w:separator/>
      </w:r>
    </w:p>
  </w:footnote>
  <w:footnote w:type="continuationSeparator" w:id="0">
    <w:p w:rsidR="00B064CC" w:rsidRDefault="00B06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07B85">
          <w:pPr>
            <w:pStyle w:val="berschrift4"/>
            <w:spacing w:after="40"/>
            <w:jc w:val="right"/>
          </w:pPr>
          <w:r>
            <w:t>Lösungen zum</w:t>
          </w:r>
          <w:r>
            <w:br/>
          </w:r>
          <w:r w:rsidR="00D07B85">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B064CC" w:rsidRDefault="00B064CC">
          <w:pPr>
            <w:pStyle w:val="Kopfzeile"/>
            <w:tabs>
              <w:tab w:val="clear" w:pos="4536"/>
              <w:tab w:val="clear" w:pos="9072"/>
            </w:tabs>
            <w:rPr>
              <w:rFonts w:ascii="Arial" w:hAnsi="Arial"/>
              <w:sz w:val="20"/>
            </w:rPr>
          </w:pPr>
          <w:r w:rsidRPr="00B064CC">
            <w:rPr>
              <w:rFonts w:ascii="Arial" w:hAnsi="Arial"/>
              <w:b/>
              <w:bCs/>
              <w:sz w:val="20"/>
            </w:rPr>
            <w:t>Dossier Orchester</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D5DFE"/>
    <w:multiLevelType w:val="hybridMultilevel"/>
    <w:tmpl w:val="D9E47D3A"/>
    <w:lvl w:ilvl="0" w:tplc="1A4420A8">
      <w:start w:val="1"/>
      <w:numFmt w:val="decimal"/>
      <w:lvlText w:val="%1."/>
      <w:lvlJc w:val="left"/>
      <w:pPr>
        <w:tabs>
          <w:tab w:val="num" w:pos="397"/>
        </w:tabs>
        <w:ind w:left="397" w:hanging="397"/>
      </w:pPr>
      <w:rPr>
        <w:rFonts w:ascii="Arial" w:hAnsi="Arial" w:hint="default"/>
        <w:b/>
        <w:i w:val="0"/>
      </w:rPr>
    </w:lvl>
    <w:lvl w:ilvl="1" w:tplc="9EB2852E">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D4A78AB"/>
    <w:multiLevelType w:val="hybridMultilevel"/>
    <w:tmpl w:val="D9E47D3A"/>
    <w:lvl w:ilvl="0" w:tplc="1A4420A8">
      <w:start w:val="1"/>
      <w:numFmt w:val="decimal"/>
      <w:lvlText w:val="%1."/>
      <w:lvlJc w:val="left"/>
      <w:pPr>
        <w:tabs>
          <w:tab w:val="num" w:pos="397"/>
        </w:tabs>
        <w:ind w:left="397" w:hanging="397"/>
      </w:pPr>
      <w:rPr>
        <w:rFonts w:ascii="Arial" w:hAnsi="Arial" w:hint="default"/>
        <w:b/>
        <w:i w:val="0"/>
      </w:rPr>
    </w:lvl>
    <w:lvl w:ilvl="1" w:tplc="BA6E9840">
      <w:start w:val="1"/>
      <w:numFmt w:val="bullet"/>
      <w:lvlText w:val="–"/>
      <w:lvlJc w:val="left"/>
      <w:pPr>
        <w:tabs>
          <w:tab w:val="num" w:pos="794"/>
        </w:tabs>
        <w:ind w:left="794" w:hanging="39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45057">
      <o:colormru v:ext="edit" colors="#eaeaea"/>
      <o:colormenu v:ext="edit" fillcolor="silver"/>
    </o:shapedefaults>
  </w:hdrShapeDefaults>
  <w:footnotePr>
    <w:footnote w:id="-1"/>
    <w:footnote w:id="0"/>
  </w:footnotePr>
  <w:endnotePr>
    <w:endnote w:id="-1"/>
    <w:endnote w:id="0"/>
  </w:endnotePr>
  <w:compat/>
  <w:rsids>
    <w:rsidRoot w:val="00C53D8A"/>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07AD2"/>
    <w:rsid w:val="00A120DD"/>
    <w:rsid w:val="00A427DC"/>
    <w:rsid w:val="00A82058"/>
    <w:rsid w:val="00A97938"/>
    <w:rsid w:val="00AB76C5"/>
    <w:rsid w:val="00B0394F"/>
    <w:rsid w:val="00B064CC"/>
    <w:rsid w:val="00B07FF4"/>
    <w:rsid w:val="00B34CB3"/>
    <w:rsid w:val="00B42B54"/>
    <w:rsid w:val="00B4742B"/>
    <w:rsid w:val="00B87E56"/>
    <w:rsid w:val="00BA744B"/>
    <w:rsid w:val="00BB2564"/>
    <w:rsid w:val="00C15202"/>
    <w:rsid w:val="00C33582"/>
    <w:rsid w:val="00C53D8A"/>
    <w:rsid w:val="00C712A2"/>
    <w:rsid w:val="00CB15CC"/>
    <w:rsid w:val="00CE62FC"/>
    <w:rsid w:val="00CF691A"/>
    <w:rsid w:val="00D06954"/>
    <w:rsid w:val="00D07B85"/>
    <w:rsid w:val="00D34455"/>
    <w:rsid w:val="00DC176D"/>
    <w:rsid w:val="00DD166A"/>
    <w:rsid w:val="00DE57F4"/>
    <w:rsid w:val="00E03A9D"/>
    <w:rsid w:val="00E25EBF"/>
    <w:rsid w:val="00E93606"/>
    <w:rsid w:val="00EA4561"/>
    <w:rsid w:val="00EC5921"/>
    <w:rsid w:val="00ED0463"/>
    <w:rsid w:val="00EF6A64"/>
    <w:rsid w:val="00F24043"/>
    <w:rsid w:val="00F547CC"/>
    <w:rsid w:val="00F92083"/>
    <w:rsid w:val="00FC199E"/>
    <w:rsid w:val="00FE5F6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styleId="Textkrper-Zeileneinzug">
    <w:name w:val="Body Text Indent"/>
    <w:basedOn w:val="Standard"/>
    <w:link w:val="Textkrper-ZeileneinzugZchn"/>
    <w:semiHidden/>
    <w:rsid w:val="00B064CC"/>
    <w:pPr>
      <w:ind w:left="360"/>
    </w:pPr>
    <w:rPr>
      <w:rFonts w:ascii="Arial" w:hAnsi="Arial" w:cs="Times New Roman"/>
      <w:sz w:val="20"/>
      <w:szCs w:val="24"/>
      <w:lang w:eastAsia="de-DE"/>
    </w:rPr>
  </w:style>
  <w:style w:type="character" w:customStyle="1" w:styleId="Textkrper-ZeileneinzugZchn">
    <w:name w:val="Textkörper-Zeileneinzug Zchn"/>
    <w:basedOn w:val="Absatz-Standardschriftart"/>
    <w:link w:val="Textkrper-Zeileneinzug"/>
    <w:semiHidden/>
    <w:rsid w:val="00B064CC"/>
    <w:rPr>
      <w:rFonts w:ascii="Arial" w:hAnsi="Arial"/>
      <w:szCs w:val="24"/>
      <w:lang w:eastAsia="de-DE"/>
    </w:rPr>
  </w:style>
  <w:style w:type="paragraph" w:styleId="Textkrper-Einzug2">
    <w:name w:val="Body Text Indent 2"/>
    <w:basedOn w:val="Standard"/>
    <w:link w:val="Textkrper-Einzug2Zchn"/>
    <w:semiHidden/>
    <w:rsid w:val="00B064CC"/>
    <w:pPr>
      <w:ind w:left="360" w:hanging="360"/>
    </w:pPr>
    <w:rPr>
      <w:rFonts w:ascii="Arial" w:hAnsi="Arial" w:cs="Times New Roman"/>
      <w:sz w:val="20"/>
      <w:szCs w:val="24"/>
      <w:lang w:eastAsia="de-DE"/>
    </w:rPr>
  </w:style>
  <w:style w:type="character" w:customStyle="1" w:styleId="Textkrper-Einzug2Zchn">
    <w:name w:val="Textkörper-Einzug 2 Zchn"/>
    <w:basedOn w:val="Absatz-Standardschriftart"/>
    <w:link w:val="Textkrper-Einzug2"/>
    <w:semiHidden/>
    <w:rsid w:val="00B064CC"/>
    <w:rPr>
      <w:rFonts w:ascii="Arial" w:hAnsi="Arial"/>
      <w:szCs w:val="24"/>
      <w:lang w:eastAsia="de-DE"/>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6DD4-156A-407F-AE21-A19B4A2A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Arbeitsblatt.dotx</Template>
  <TotalTime>0</TotalTime>
  <Pages>2</Pages>
  <Words>617</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4422</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Sandra Bargetze</dc:creator>
  <cp:keywords/>
  <dc:description/>
  <cp:lastModifiedBy>Sandra Bargetze</cp:lastModifiedBy>
  <cp:revision>2</cp:revision>
  <cp:lastPrinted>2010-07-26T14:15:00Z</cp:lastPrinted>
  <dcterms:created xsi:type="dcterms:W3CDTF">2012-05-15T14:11:00Z</dcterms:created>
  <dcterms:modified xsi:type="dcterms:W3CDTF">2012-05-16T09:09:00Z</dcterms:modified>
  <cp:category>Zuma Vorlage phe</cp:category>
</cp:coreProperties>
</file>