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9568"/>
      </w:tblGrid>
      <w:tr w:rsidR="00DB2DAF" w14:paraId="788A5B01" w14:textId="77777777" w:rsidTr="00D00BF5">
        <w:tc>
          <w:tcPr>
            <w:tcW w:w="9568" w:type="dxa"/>
          </w:tcPr>
          <w:p w14:paraId="7C378230" w14:textId="5A32A4AD" w:rsidR="00DB2DAF" w:rsidRPr="002C491F" w:rsidRDefault="00D00BF5" w:rsidP="00967C95">
            <w:pPr>
              <w:pStyle w:val="Kopfzeile"/>
              <w:tabs>
                <w:tab w:val="clear" w:pos="4536"/>
                <w:tab w:val="clear" w:pos="9072"/>
              </w:tabs>
              <w:ind w:right="-70"/>
              <w:rPr>
                <w:rFonts w:ascii="Arial" w:hAnsi="Arial"/>
                <w:b/>
                <w:bCs/>
                <w:noProof/>
                <w:sz w:val="20"/>
                <w:lang w:val="de-DE" w:eastAsia="de-DE"/>
              </w:rPr>
            </w:pPr>
            <w:bookmarkStart w:id="0" w:name="_GoBack"/>
            <w:bookmarkEnd w:id="0"/>
            <w:r>
              <w:rPr>
                <w:rFonts w:ascii="Arial" w:hAnsi="Arial"/>
                <w:b/>
                <w:bCs/>
                <w:noProof/>
                <w:sz w:val="20"/>
                <w:lang w:val="de-DE" w:eastAsia="de-DE"/>
              </w:rPr>
              <w:t xml:space="preserve">Beantworte </w:t>
            </w:r>
            <w:r w:rsidR="008F19C9">
              <w:rPr>
                <w:rFonts w:ascii="Arial" w:hAnsi="Arial"/>
                <w:b/>
                <w:bCs/>
                <w:noProof/>
                <w:sz w:val="20"/>
                <w:lang w:val="de-DE" w:eastAsia="de-DE"/>
              </w:rPr>
              <w:t>f</w:t>
            </w:r>
            <w:r>
              <w:rPr>
                <w:rFonts w:ascii="Arial" w:hAnsi="Arial"/>
                <w:b/>
                <w:bCs/>
                <w:noProof/>
                <w:sz w:val="20"/>
                <w:lang w:val="de-DE" w:eastAsia="de-DE"/>
              </w:rPr>
              <w:t xml:space="preserve">olgende </w:t>
            </w:r>
            <w:r w:rsidR="00DB2DAF">
              <w:rPr>
                <w:rFonts w:ascii="Arial" w:hAnsi="Arial"/>
                <w:b/>
                <w:bCs/>
                <w:noProof/>
                <w:sz w:val="20"/>
                <w:lang w:val="de-DE" w:eastAsia="de-DE"/>
              </w:rPr>
              <w:t xml:space="preserve">Fragen </w:t>
            </w:r>
            <w:r w:rsidR="00967C95">
              <w:rPr>
                <w:rFonts w:ascii="Arial" w:hAnsi="Arial"/>
                <w:b/>
                <w:bCs/>
                <w:noProof/>
                <w:sz w:val="20"/>
                <w:lang w:val="de-DE" w:eastAsia="de-DE"/>
              </w:rPr>
              <w:t>zur Darstellung</w:t>
            </w:r>
            <w:r w:rsidR="008733DD">
              <w:rPr>
                <w:rFonts w:ascii="Arial" w:hAnsi="Arial"/>
                <w:b/>
                <w:bCs/>
                <w:noProof/>
                <w:sz w:val="20"/>
                <w:lang w:val="de-DE" w:eastAsia="de-DE"/>
              </w:rPr>
              <w:t xml:space="preserve"> der</w:t>
            </w:r>
            <w:r w:rsidR="00967C95">
              <w:rPr>
                <w:rFonts w:ascii="Arial" w:hAnsi="Arial"/>
                <w:b/>
                <w:bCs/>
                <w:noProof/>
                <w:sz w:val="20"/>
                <w:lang w:val="de-DE" w:eastAsia="de-DE"/>
              </w:rPr>
              <w:t xml:space="preserve"> </w:t>
            </w:r>
            <w:r w:rsidR="008733DD">
              <w:rPr>
                <w:rFonts w:ascii="Arial" w:hAnsi="Arial"/>
                <w:b/>
                <w:bCs/>
                <w:noProof/>
                <w:sz w:val="20"/>
                <w:lang w:val="de-DE" w:eastAsia="de-DE"/>
              </w:rPr>
              <w:t>Jugoslawienkriege zu Beginn der 90er Jahre.</w:t>
            </w:r>
            <w:r w:rsidR="00DB2DAF">
              <w:rPr>
                <w:rFonts w:ascii="Arial" w:hAnsi="Arial"/>
                <w:b/>
                <w:bCs/>
                <w:noProof/>
                <w:sz w:val="20"/>
                <w:lang w:val="de-DE" w:eastAsia="de-DE"/>
              </w:rPr>
              <w:br/>
            </w:r>
          </w:p>
        </w:tc>
      </w:tr>
    </w:tbl>
    <w:p w14:paraId="2569EFE4" w14:textId="77777777" w:rsidR="00466F70" w:rsidRDefault="00466F70" w:rsidP="00DB2DAF">
      <w:pPr>
        <w:pStyle w:val="Kopfzeile"/>
        <w:tabs>
          <w:tab w:val="clear" w:pos="4536"/>
          <w:tab w:val="clear" w:pos="9072"/>
        </w:tabs>
        <w:rPr>
          <w:rFonts w:ascii="Arial" w:hAnsi="Arial"/>
          <w:b/>
          <w:sz w:val="30"/>
          <w:szCs w:val="30"/>
        </w:rPr>
      </w:pPr>
    </w:p>
    <w:tbl>
      <w:tblPr>
        <w:tblW w:w="9568" w:type="dxa"/>
        <w:tblLayout w:type="fixed"/>
        <w:tblCellMar>
          <w:left w:w="70" w:type="dxa"/>
          <w:right w:w="70" w:type="dxa"/>
        </w:tblCellMar>
        <w:tblLook w:val="0000" w:firstRow="0" w:lastRow="0" w:firstColumn="0" w:lastColumn="0" w:noHBand="0" w:noVBand="0"/>
      </w:tblPr>
      <w:tblGrid>
        <w:gridCol w:w="9568"/>
      </w:tblGrid>
      <w:tr w:rsidR="000A5301" w:rsidRPr="00EB54B8" w14:paraId="606A6439" w14:textId="77777777" w:rsidTr="000A5301">
        <w:tc>
          <w:tcPr>
            <w:tcW w:w="9568" w:type="dxa"/>
          </w:tcPr>
          <w:p w14:paraId="52108FD3" w14:textId="0D7CEEEF" w:rsidR="000A5301" w:rsidRDefault="000A5301" w:rsidP="00107DE8">
            <w:pPr>
              <w:spacing w:after="120" w:line="360" w:lineRule="auto"/>
              <w:ind w:right="-70"/>
              <w:rPr>
                <w:rFonts w:ascii="Arial" w:hAnsi="Arial"/>
                <w:noProof/>
                <w:sz w:val="24"/>
                <w:szCs w:val="24"/>
                <w:lang w:eastAsia="de-CH"/>
              </w:rPr>
            </w:pPr>
            <w:r>
              <w:rPr>
                <w:rFonts w:ascii="Arial" w:hAnsi="Arial"/>
                <w:sz w:val="20"/>
                <w:lang w:val="de-DE"/>
              </w:rPr>
              <w:t>Für welche Ereignisse lässt der Regisseur seine Zeitzeugen sprechen?</w:t>
            </w:r>
            <w:r w:rsidR="004365B8">
              <w:rPr>
                <w:rFonts w:ascii="Arial" w:hAnsi="Arial"/>
                <w:sz w:val="20"/>
                <w:lang w:val="de-DE"/>
              </w:rPr>
              <w:br/>
            </w:r>
          </w:p>
        </w:tc>
      </w:tr>
      <w:tr w:rsidR="00466F70" w:rsidRPr="00EB54B8" w14:paraId="69D76E56" w14:textId="77777777" w:rsidTr="008F19C9">
        <w:trPr>
          <w:trHeight w:val="842"/>
        </w:trPr>
        <w:tc>
          <w:tcPr>
            <w:tcW w:w="9568" w:type="dxa"/>
          </w:tcPr>
          <w:p w14:paraId="286C1AAC" w14:textId="77777777" w:rsidR="0024232F" w:rsidRPr="0024232F" w:rsidRDefault="00F3519C" w:rsidP="0024232F">
            <w:pPr>
              <w:spacing w:after="120"/>
              <w:rPr>
                <w:rFonts w:ascii="Arial" w:hAnsi="Arial"/>
                <w:sz w:val="20"/>
                <w:lang w:val="de-DE"/>
              </w:rPr>
            </w:pPr>
            <w:r>
              <w:rPr>
                <w:rFonts w:ascii="Arial" w:hAnsi="Arial"/>
                <w:b/>
                <w:sz w:val="20"/>
                <w:lang w:val="de-DE"/>
              </w:rPr>
              <w:t xml:space="preserve">Branko </w:t>
            </w:r>
            <w:proofErr w:type="spellStart"/>
            <w:r>
              <w:rPr>
                <w:rFonts w:ascii="Arial" w:hAnsi="Arial"/>
                <w:b/>
                <w:sz w:val="20"/>
                <w:lang w:val="de-DE"/>
              </w:rPr>
              <w:t>Trbovich</w:t>
            </w:r>
            <w:proofErr w:type="spellEnd"/>
            <w:r w:rsidR="0001705C">
              <w:rPr>
                <w:rFonts w:ascii="Arial" w:hAnsi="Arial"/>
                <w:b/>
                <w:sz w:val="24"/>
                <w:szCs w:val="24"/>
                <w:lang w:val="de-DE"/>
              </w:rPr>
              <w:br/>
            </w:r>
            <w:r w:rsidR="00AC661E" w:rsidRPr="00AC661E">
              <w:rPr>
                <w:rFonts w:ascii="Arial" w:hAnsi="Arial"/>
                <w:sz w:val="20"/>
                <w:lang w:val="de-DE"/>
              </w:rPr>
              <w:br/>
            </w:r>
            <w:proofErr w:type="spellStart"/>
            <w:r w:rsidR="00AC661E" w:rsidRPr="00AC661E">
              <w:rPr>
                <w:rFonts w:ascii="Arial" w:hAnsi="Arial"/>
                <w:sz w:val="20"/>
                <w:lang w:val="de-DE"/>
              </w:rPr>
              <w:t>Trbovich</w:t>
            </w:r>
            <w:proofErr w:type="spellEnd"/>
            <w:r w:rsidR="00AC661E" w:rsidRPr="00AC661E">
              <w:rPr>
                <w:rFonts w:ascii="Arial" w:hAnsi="Arial"/>
                <w:sz w:val="20"/>
                <w:lang w:val="de-DE"/>
              </w:rPr>
              <w:t xml:space="preserve"> war verantwortlich für </w:t>
            </w:r>
            <w:proofErr w:type="gramStart"/>
            <w:r w:rsidR="00AC661E" w:rsidRPr="00AC661E">
              <w:rPr>
                <w:rFonts w:ascii="Arial" w:hAnsi="Arial"/>
                <w:sz w:val="20"/>
                <w:lang w:val="de-DE"/>
              </w:rPr>
              <w:t>das</w:t>
            </w:r>
            <w:proofErr w:type="gramEnd"/>
            <w:r w:rsidR="00AC661E" w:rsidRPr="00AC661E">
              <w:rPr>
                <w:rFonts w:ascii="Arial" w:hAnsi="Arial"/>
                <w:sz w:val="20"/>
                <w:lang w:val="de-DE"/>
              </w:rPr>
              <w:t xml:space="preserve"> Vorkosten der Gerichte von Josip Broz Tito, Staatsoberhaupt der Republik Jugoslawien von 1953 bis 1980. Das Essen musste sowohl die Sicherheits-, als auch die Geschmacksanforderungen des Marschalls erfüllen. Es musste genau seinen Vorlieben entsprechen. Nach und nach habe sich sein Geschmackssinn vollkommen an denjenigen von Tito angepasst, meint </w:t>
            </w:r>
            <w:proofErr w:type="spellStart"/>
            <w:r w:rsidR="00AC661E" w:rsidRPr="00AC661E">
              <w:rPr>
                <w:rFonts w:ascii="Arial" w:hAnsi="Arial"/>
                <w:sz w:val="20"/>
                <w:lang w:val="de-DE"/>
              </w:rPr>
              <w:t>Trbovich</w:t>
            </w:r>
            <w:proofErr w:type="spellEnd"/>
            <w:r w:rsidR="00AC661E" w:rsidRPr="00AC661E">
              <w:rPr>
                <w:rFonts w:ascii="Arial" w:hAnsi="Arial"/>
                <w:sz w:val="20"/>
                <w:lang w:val="de-DE"/>
              </w:rPr>
              <w:t xml:space="preserve"> im Film. Nach Titos Tod seien bei offi</w:t>
            </w:r>
            <w:r w:rsidR="0024232F">
              <w:rPr>
                <w:rFonts w:ascii="Arial" w:hAnsi="Arial"/>
                <w:sz w:val="20"/>
                <w:lang w:val="de-DE"/>
              </w:rPr>
              <w:t>ziellen Anlässen dann immer häu</w:t>
            </w:r>
            <w:r w:rsidR="00AC661E" w:rsidRPr="00AC661E">
              <w:rPr>
                <w:rFonts w:ascii="Arial" w:hAnsi="Arial"/>
                <w:sz w:val="20"/>
                <w:lang w:val="de-DE"/>
              </w:rPr>
              <w:t>figer serbische Bauerngerichte auf die Speisekarte gekommen, beklagt sich der gebürtige Kroate (Tito selber war auch Kroate). Damit sei der in Titos Umgebu</w:t>
            </w:r>
            <w:r w:rsidR="0024232F">
              <w:rPr>
                <w:rFonts w:ascii="Arial" w:hAnsi="Arial"/>
                <w:sz w:val="20"/>
                <w:lang w:val="de-DE"/>
              </w:rPr>
              <w:t>ng übliche Geschmack von Weltni</w:t>
            </w:r>
            <w:r w:rsidR="00AC661E" w:rsidRPr="00AC661E">
              <w:rPr>
                <w:rFonts w:ascii="Arial" w:hAnsi="Arial"/>
                <w:sz w:val="20"/>
                <w:lang w:val="de-DE"/>
              </w:rPr>
              <w:t xml:space="preserve">veau verloren gegangen: „Alles war aus und dann nichts mehr. Kein Geschmack mehr, nichts.“ </w:t>
            </w:r>
            <w:proofErr w:type="spellStart"/>
            <w:r w:rsidR="00AC661E" w:rsidRPr="00AC661E">
              <w:rPr>
                <w:rFonts w:ascii="Arial" w:hAnsi="Arial"/>
                <w:sz w:val="20"/>
                <w:lang w:val="de-DE"/>
              </w:rPr>
              <w:t>Trbovich</w:t>
            </w:r>
            <w:proofErr w:type="spellEnd"/>
            <w:r w:rsidR="00AC661E" w:rsidRPr="00AC661E">
              <w:rPr>
                <w:rFonts w:ascii="Arial" w:hAnsi="Arial"/>
                <w:sz w:val="20"/>
                <w:lang w:val="de-DE"/>
              </w:rPr>
              <w:t xml:space="preserve"> trauert der von Tito geprägten «</w:t>
            </w:r>
            <w:proofErr w:type="spellStart"/>
            <w:r w:rsidR="00AC661E" w:rsidRPr="00AC661E">
              <w:rPr>
                <w:rFonts w:ascii="Arial" w:hAnsi="Arial"/>
                <w:sz w:val="20"/>
                <w:lang w:val="de-DE"/>
              </w:rPr>
              <w:t>Grösse</w:t>
            </w:r>
            <w:proofErr w:type="spellEnd"/>
            <w:r w:rsidR="00AC661E" w:rsidRPr="00AC661E">
              <w:rPr>
                <w:rFonts w:ascii="Arial" w:hAnsi="Arial"/>
                <w:sz w:val="20"/>
                <w:lang w:val="de-DE"/>
              </w:rPr>
              <w:t>» Jugoslawiens sichtlich nach.</w:t>
            </w:r>
            <w:r w:rsidR="00AF1919">
              <w:rPr>
                <w:rFonts w:ascii="Arial" w:hAnsi="Arial"/>
                <w:sz w:val="24"/>
                <w:szCs w:val="24"/>
                <w:lang w:val="de-DE"/>
              </w:rPr>
              <w:br/>
            </w:r>
            <w:r w:rsidR="00AC661E">
              <w:rPr>
                <w:rFonts w:ascii="Arial" w:hAnsi="Arial"/>
                <w:b/>
                <w:sz w:val="20"/>
                <w:lang w:val="de-DE"/>
              </w:rPr>
              <w:br/>
            </w:r>
            <w:r w:rsidR="00AF1919">
              <w:rPr>
                <w:rFonts w:ascii="Arial" w:hAnsi="Arial"/>
                <w:b/>
                <w:sz w:val="20"/>
                <w:lang w:val="de-DE"/>
              </w:rPr>
              <w:br/>
            </w:r>
            <w:r>
              <w:rPr>
                <w:rFonts w:ascii="Arial" w:hAnsi="Arial"/>
                <w:b/>
                <w:sz w:val="20"/>
                <w:lang w:val="de-DE"/>
              </w:rPr>
              <w:t xml:space="preserve">Mladen </w:t>
            </w:r>
            <w:proofErr w:type="spellStart"/>
            <w:r>
              <w:rPr>
                <w:rFonts w:ascii="Arial" w:hAnsi="Arial"/>
                <w:b/>
                <w:sz w:val="20"/>
                <w:lang w:val="de-DE"/>
              </w:rPr>
              <w:t>Vlachyna</w:t>
            </w:r>
            <w:proofErr w:type="spellEnd"/>
            <w:r w:rsidR="00AF1919">
              <w:rPr>
                <w:rFonts w:ascii="Arial" w:hAnsi="Arial"/>
                <w:sz w:val="24"/>
                <w:szCs w:val="24"/>
                <w:lang w:val="de-DE"/>
              </w:rPr>
              <w:br/>
            </w:r>
            <w:r w:rsidR="00BF3619">
              <w:rPr>
                <w:rFonts w:ascii="Arial" w:hAnsi="Arial"/>
                <w:sz w:val="24"/>
                <w:szCs w:val="24"/>
                <w:lang w:val="de-DE"/>
              </w:rPr>
              <w:br/>
            </w:r>
            <w:r w:rsidR="00BF3619" w:rsidRPr="00BF3619">
              <w:rPr>
                <w:rFonts w:ascii="Arial" w:hAnsi="Arial"/>
                <w:sz w:val="20"/>
                <w:lang w:val="de-DE"/>
              </w:rPr>
              <w:t xml:space="preserve">1991 trat er als Freiwilliger der kroatischen Armee bei, um an der Errichtung einer von Serbien unabhängigen Nation aktiv mitzuwirken. Er kommandierte während des Kroatienkrieges 35 Köche. Während der Belagerung von Vukovar durch die Serben, wollte er mit seinen Köchen selber in die Kampfhandlungen eingreifen. Sein Oberst </w:t>
            </w:r>
            <w:proofErr w:type="spellStart"/>
            <w:r w:rsidR="00BF3619" w:rsidRPr="00BF3619">
              <w:rPr>
                <w:rFonts w:ascii="Arial" w:hAnsi="Arial"/>
                <w:sz w:val="20"/>
                <w:lang w:val="de-DE"/>
              </w:rPr>
              <w:t>liess</w:t>
            </w:r>
            <w:proofErr w:type="spellEnd"/>
            <w:r w:rsidR="00BF3619" w:rsidRPr="00BF3619">
              <w:rPr>
                <w:rFonts w:ascii="Arial" w:hAnsi="Arial"/>
                <w:sz w:val="20"/>
                <w:lang w:val="de-DE"/>
              </w:rPr>
              <w:t xml:space="preserve"> dies jedoch nicht zu. Er erinnerte </w:t>
            </w:r>
            <w:proofErr w:type="spellStart"/>
            <w:r w:rsidR="00BF3619" w:rsidRPr="00BF3619">
              <w:rPr>
                <w:rFonts w:ascii="Arial" w:hAnsi="Arial"/>
                <w:sz w:val="20"/>
                <w:lang w:val="de-DE"/>
              </w:rPr>
              <w:t>Vlachyna</w:t>
            </w:r>
            <w:proofErr w:type="spellEnd"/>
            <w:r w:rsidR="00BF3619" w:rsidRPr="00BF3619">
              <w:rPr>
                <w:rFonts w:ascii="Arial" w:hAnsi="Arial"/>
                <w:sz w:val="20"/>
                <w:lang w:val="de-DE"/>
              </w:rPr>
              <w:t xml:space="preserve"> daran, wie wichtig die gute Verpflegung für die Moral der Truppe sei: „Es gibt keinen Krieg ohne Essen!“</w:t>
            </w:r>
            <w:r w:rsidR="00AF1919">
              <w:rPr>
                <w:rFonts w:ascii="Arial" w:hAnsi="Arial"/>
                <w:sz w:val="24"/>
                <w:szCs w:val="24"/>
                <w:lang w:val="de-DE"/>
              </w:rPr>
              <w:br/>
            </w:r>
            <w:r w:rsidR="00BF3619">
              <w:rPr>
                <w:rFonts w:ascii="Arial" w:hAnsi="Arial"/>
                <w:sz w:val="24"/>
                <w:szCs w:val="24"/>
                <w:lang w:val="de-DE"/>
              </w:rPr>
              <w:br/>
            </w:r>
            <w:r w:rsidR="00AF1919">
              <w:rPr>
                <w:rFonts w:ascii="Arial" w:hAnsi="Arial"/>
                <w:sz w:val="24"/>
                <w:szCs w:val="24"/>
                <w:lang w:val="de-DE"/>
              </w:rPr>
              <w:br/>
            </w:r>
            <w:r>
              <w:rPr>
                <w:rFonts w:ascii="Arial" w:hAnsi="Arial"/>
                <w:b/>
                <w:sz w:val="20"/>
                <w:lang w:val="de-DE"/>
              </w:rPr>
              <w:t xml:space="preserve">Branka </w:t>
            </w:r>
            <w:proofErr w:type="spellStart"/>
            <w:r>
              <w:rPr>
                <w:rFonts w:ascii="Arial" w:hAnsi="Arial"/>
                <w:b/>
                <w:sz w:val="20"/>
                <w:lang w:val="de-DE"/>
              </w:rPr>
              <w:t>Mudrenic</w:t>
            </w:r>
            <w:proofErr w:type="spellEnd"/>
            <w:r w:rsidR="0094533E">
              <w:rPr>
                <w:rFonts w:ascii="Arial" w:hAnsi="Arial"/>
                <w:b/>
                <w:sz w:val="20"/>
                <w:lang w:val="de-DE"/>
              </w:rPr>
              <w:t xml:space="preserve"> &amp; Ankica Pavlovic</w:t>
            </w:r>
            <w:r w:rsidR="0024232F">
              <w:rPr>
                <w:rFonts w:ascii="Arial" w:hAnsi="Arial"/>
                <w:sz w:val="24"/>
                <w:szCs w:val="24"/>
                <w:lang w:val="de-DE"/>
              </w:rPr>
              <w:br/>
            </w:r>
            <w:r w:rsidR="0024232F">
              <w:rPr>
                <w:rFonts w:ascii="Arial" w:hAnsi="Arial"/>
                <w:sz w:val="24"/>
                <w:szCs w:val="24"/>
                <w:lang w:val="de-DE"/>
              </w:rPr>
              <w:br/>
            </w:r>
            <w:r w:rsidR="0024232F" w:rsidRPr="0024232F">
              <w:rPr>
                <w:rFonts w:ascii="Arial" w:hAnsi="Arial"/>
                <w:sz w:val="20"/>
                <w:lang w:val="de-DE"/>
              </w:rPr>
              <w:t xml:space="preserve">Beide Köchinnen kochten für die serbische Miliz in der </w:t>
            </w:r>
            <w:proofErr w:type="spellStart"/>
            <w:r w:rsidR="0024232F" w:rsidRPr="0024232F">
              <w:rPr>
                <w:rFonts w:ascii="Arial" w:hAnsi="Arial"/>
                <w:sz w:val="20"/>
                <w:lang w:val="de-DE"/>
              </w:rPr>
              <w:t>Krajna</w:t>
            </w:r>
            <w:proofErr w:type="spellEnd"/>
            <w:r w:rsidR="0024232F" w:rsidRPr="0024232F">
              <w:rPr>
                <w:rFonts w:ascii="Arial" w:hAnsi="Arial"/>
                <w:sz w:val="20"/>
                <w:lang w:val="de-DE"/>
              </w:rPr>
              <w:t>. „Wir kochten für unsere Leute – und gegen Kroaten natürlich.“ Beide waren Flüchtlinge und dienten in der Armeeküche, weil es für sie der einzige Weg war, sich selber versorgen zu können. Jeden Tag bekamen sie ein Kilo Brot und lebten von einem Tag auf den anderen.</w:t>
            </w:r>
          </w:p>
          <w:p w14:paraId="40BE9142" w14:textId="20A708DE" w:rsidR="00466F70" w:rsidRPr="00AF1919" w:rsidRDefault="0024232F" w:rsidP="0024232F">
            <w:pPr>
              <w:spacing w:after="120"/>
              <w:rPr>
                <w:rFonts w:ascii="Arial" w:hAnsi="Arial"/>
                <w:sz w:val="24"/>
                <w:szCs w:val="24"/>
                <w:lang w:val="de-DE"/>
              </w:rPr>
            </w:pPr>
            <w:r w:rsidRPr="0024232F">
              <w:rPr>
                <w:rFonts w:ascii="Arial" w:hAnsi="Arial"/>
                <w:sz w:val="20"/>
                <w:lang w:val="de-DE"/>
              </w:rPr>
              <w:t>„Nach dem Krieg sagte mein Schwager von der kroatischen Seite zu mir: ‚Ankica, wir wussten auch auf der anderen Seite der Front, wenn du gekocht hast. Du hast lecker gekocht, die Soldaten hatten volle Bäuche und schossen viel genauer auf uns.’ Ich war stolz, aber mir taten die Leute auch leid, die auf der anderen Seite sterben mussten.“</w:t>
            </w:r>
            <w:r>
              <w:rPr>
                <w:rFonts w:ascii="Arial" w:hAnsi="Arial"/>
                <w:sz w:val="24"/>
                <w:szCs w:val="24"/>
                <w:lang w:val="de-DE"/>
              </w:rPr>
              <w:br/>
            </w:r>
          </w:p>
        </w:tc>
      </w:tr>
      <w:tr w:rsidR="00466F70" w:rsidRPr="00EB54B8" w14:paraId="57BBDC9F" w14:textId="77777777" w:rsidTr="008F19C9">
        <w:trPr>
          <w:trHeight w:val="841"/>
        </w:trPr>
        <w:tc>
          <w:tcPr>
            <w:tcW w:w="9568" w:type="dxa"/>
          </w:tcPr>
          <w:p w14:paraId="50A5A343" w14:textId="77777777" w:rsidR="00095C1F" w:rsidRDefault="00095C1F" w:rsidP="00095C1F">
            <w:pPr>
              <w:spacing w:after="120" w:line="360" w:lineRule="auto"/>
              <w:rPr>
                <w:rFonts w:ascii="Arial" w:hAnsi="Arial"/>
                <w:sz w:val="20"/>
                <w:lang w:val="de-DE"/>
              </w:rPr>
            </w:pPr>
          </w:p>
          <w:p w14:paraId="7D7521B2" w14:textId="77777777" w:rsidR="00095C1F" w:rsidRDefault="00095C1F" w:rsidP="00095C1F">
            <w:pPr>
              <w:spacing w:after="120" w:line="360" w:lineRule="auto"/>
              <w:rPr>
                <w:rFonts w:ascii="Arial" w:hAnsi="Arial"/>
                <w:sz w:val="20"/>
                <w:lang w:val="de-DE"/>
              </w:rPr>
            </w:pPr>
          </w:p>
          <w:p w14:paraId="00026842" w14:textId="77777777" w:rsidR="00095C1F" w:rsidRDefault="00095C1F" w:rsidP="00095C1F">
            <w:pPr>
              <w:spacing w:after="120" w:line="360" w:lineRule="auto"/>
              <w:rPr>
                <w:rFonts w:ascii="Arial" w:hAnsi="Arial"/>
                <w:sz w:val="20"/>
                <w:lang w:val="de-DE"/>
              </w:rPr>
            </w:pPr>
          </w:p>
          <w:p w14:paraId="34216190" w14:textId="77777777" w:rsidR="002B0CD5" w:rsidRDefault="002B0CD5" w:rsidP="00095C1F">
            <w:pPr>
              <w:spacing w:after="120" w:line="360" w:lineRule="auto"/>
              <w:rPr>
                <w:rFonts w:ascii="Arial" w:hAnsi="Arial"/>
                <w:sz w:val="20"/>
                <w:lang w:val="de-DE"/>
              </w:rPr>
            </w:pPr>
          </w:p>
          <w:p w14:paraId="7FA88FE0" w14:textId="77777777" w:rsidR="002B0CD5" w:rsidRDefault="002B0CD5" w:rsidP="00095C1F">
            <w:pPr>
              <w:spacing w:after="120" w:line="360" w:lineRule="auto"/>
              <w:rPr>
                <w:rFonts w:ascii="Arial" w:hAnsi="Arial"/>
                <w:sz w:val="20"/>
                <w:lang w:val="de-DE"/>
              </w:rPr>
            </w:pPr>
          </w:p>
          <w:p w14:paraId="00A477EB" w14:textId="77777777" w:rsidR="002B0CD5" w:rsidRDefault="002B0CD5" w:rsidP="00095C1F">
            <w:pPr>
              <w:spacing w:after="120" w:line="360" w:lineRule="auto"/>
              <w:rPr>
                <w:rFonts w:ascii="Arial" w:hAnsi="Arial"/>
                <w:sz w:val="20"/>
                <w:lang w:val="de-DE"/>
              </w:rPr>
            </w:pPr>
          </w:p>
          <w:p w14:paraId="4099294B" w14:textId="77777777" w:rsidR="002B0CD5" w:rsidRDefault="002B0CD5" w:rsidP="00095C1F">
            <w:pPr>
              <w:spacing w:after="120" w:line="360" w:lineRule="auto"/>
              <w:rPr>
                <w:rFonts w:ascii="Arial" w:hAnsi="Arial"/>
                <w:sz w:val="20"/>
                <w:lang w:val="de-DE"/>
              </w:rPr>
            </w:pPr>
          </w:p>
          <w:p w14:paraId="629CF972" w14:textId="77777777" w:rsidR="00DD3668" w:rsidRDefault="00DD3668" w:rsidP="00095C1F">
            <w:pPr>
              <w:spacing w:after="120" w:line="360" w:lineRule="auto"/>
              <w:rPr>
                <w:rFonts w:ascii="Arial" w:hAnsi="Arial"/>
                <w:sz w:val="20"/>
                <w:lang w:val="de-DE"/>
              </w:rPr>
            </w:pPr>
          </w:p>
          <w:p w14:paraId="4ED2018E" w14:textId="77777777" w:rsidR="002B0CD5" w:rsidRDefault="002B0CD5" w:rsidP="00095C1F">
            <w:pPr>
              <w:spacing w:after="120" w:line="360" w:lineRule="auto"/>
              <w:rPr>
                <w:rFonts w:ascii="Arial" w:hAnsi="Arial"/>
                <w:sz w:val="20"/>
                <w:lang w:val="de-DE"/>
              </w:rPr>
            </w:pPr>
          </w:p>
          <w:p w14:paraId="3C852848" w14:textId="337E7F6D" w:rsidR="002B0CD5" w:rsidRPr="00291FB2" w:rsidRDefault="00291FB2" w:rsidP="002B0CD5">
            <w:pPr>
              <w:spacing w:after="120" w:line="360" w:lineRule="auto"/>
              <w:rPr>
                <w:rFonts w:ascii="Arial" w:hAnsi="Arial"/>
                <w:b/>
                <w:sz w:val="20"/>
                <w:lang w:val="de-DE"/>
              </w:rPr>
            </w:pPr>
            <w:r w:rsidRPr="00291FB2">
              <w:rPr>
                <w:rFonts w:ascii="Arial" w:hAnsi="Arial"/>
                <w:b/>
                <w:sz w:val="20"/>
                <w:lang w:val="de-DE"/>
              </w:rPr>
              <w:lastRenderedPageBreak/>
              <w:t>In welchem Verhältnis stehen die Gesprächspartner zueinander?</w:t>
            </w:r>
            <w:r>
              <w:rPr>
                <w:rFonts w:ascii="Arial" w:hAnsi="Arial"/>
                <w:b/>
                <w:sz w:val="20"/>
                <w:lang w:val="de-DE"/>
              </w:rPr>
              <w:br/>
            </w:r>
            <w:r>
              <w:rPr>
                <w:rFonts w:ascii="Arial" w:hAnsi="Arial"/>
                <w:b/>
                <w:sz w:val="20"/>
                <w:lang w:val="de-DE"/>
              </w:rPr>
              <w:br/>
            </w:r>
            <w:proofErr w:type="spellStart"/>
            <w:r w:rsidRPr="00291FB2">
              <w:rPr>
                <w:rFonts w:ascii="Arial" w:hAnsi="Arial"/>
                <w:sz w:val="20"/>
                <w:lang w:val="de-DE"/>
              </w:rPr>
              <w:t>Trbovich</w:t>
            </w:r>
            <w:proofErr w:type="spellEnd"/>
            <w:r w:rsidRPr="00291FB2">
              <w:rPr>
                <w:rFonts w:ascii="Arial" w:hAnsi="Arial"/>
                <w:sz w:val="20"/>
                <w:lang w:val="de-DE"/>
              </w:rPr>
              <w:t xml:space="preserve"> steht einsam für sich selber – und das untergegangene, von Tito geprägte «glorreiche» </w:t>
            </w:r>
            <w:proofErr w:type="spellStart"/>
            <w:r w:rsidRPr="00291FB2">
              <w:rPr>
                <w:rFonts w:ascii="Arial" w:hAnsi="Arial"/>
                <w:sz w:val="20"/>
                <w:lang w:val="de-DE"/>
              </w:rPr>
              <w:t>Jugoslaiwen</w:t>
            </w:r>
            <w:proofErr w:type="spellEnd"/>
            <w:r w:rsidRPr="00291FB2">
              <w:rPr>
                <w:rFonts w:ascii="Arial" w:hAnsi="Arial"/>
                <w:sz w:val="20"/>
                <w:lang w:val="de-DE"/>
              </w:rPr>
              <w:t>.</w:t>
            </w:r>
            <w:r w:rsidRPr="00291FB2">
              <w:rPr>
                <w:rFonts w:ascii="Arial" w:hAnsi="Arial"/>
                <w:sz w:val="20"/>
                <w:lang w:val="de-DE"/>
              </w:rPr>
              <w:br/>
            </w:r>
            <w:r w:rsidRPr="00291FB2">
              <w:rPr>
                <w:rFonts w:ascii="Arial" w:hAnsi="Arial"/>
                <w:sz w:val="20"/>
                <w:lang w:val="de-DE"/>
              </w:rPr>
              <w:br/>
            </w:r>
            <w:proofErr w:type="spellStart"/>
            <w:r w:rsidRPr="00291FB2">
              <w:rPr>
                <w:rFonts w:ascii="Arial" w:hAnsi="Arial"/>
                <w:sz w:val="20"/>
                <w:lang w:val="de-DE"/>
              </w:rPr>
              <w:t>Vlachyna</w:t>
            </w:r>
            <w:proofErr w:type="spellEnd"/>
            <w:r w:rsidRPr="00291FB2">
              <w:rPr>
                <w:rFonts w:ascii="Arial" w:hAnsi="Arial"/>
                <w:sz w:val="20"/>
                <w:lang w:val="de-DE"/>
              </w:rPr>
              <w:t xml:space="preserve"> und die beiden serbischen Köchinnen standen sich im Kroatienkrieg als Feinde gegen-über.</w:t>
            </w:r>
            <w:r>
              <w:rPr>
                <w:rFonts w:ascii="Arial" w:hAnsi="Arial"/>
                <w:b/>
                <w:sz w:val="20"/>
                <w:lang w:val="de-DE"/>
              </w:rPr>
              <w:br/>
            </w:r>
            <w:r>
              <w:rPr>
                <w:rFonts w:ascii="Arial" w:hAnsi="Arial"/>
                <w:b/>
                <w:sz w:val="20"/>
                <w:lang w:val="de-DE"/>
              </w:rPr>
              <w:br/>
            </w:r>
            <w:r>
              <w:rPr>
                <w:rFonts w:ascii="Arial" w:hAnsi="Arial"/>
                <w:b/>
                <w:sz w:val="20"/>
                <w:lang w:val="de-DE"/>
              </w:rPr>
              <w:br/>
            </w:r>
            <w:r w:rsidR="002B0CD5" w:rsidRPr="00D51373">
              <w:rPr>
                <w:rFonts w:ascii="Arial" w:hAnsi="Arial"/>
                <w:b/>
                <w:sz w:val="20"/>
                <w:lang w:val="de-DE"/>
              </w:rPr>
              <w:t xml:space="preserve">Wie </w:t>
            </w:r>
            <w:proofErr w:type="spellStart"/>
            <w:r w:rsidR="002B0CD5" w:rsidRPr="00D51373">
              <w:rPr>
                <w:rFonts w:ascii="Arial" w:hAnsi="Arial"/>
                <w:b/>
                <w:sz w:val="20"/>
                <w:lang w:val="de-DE"/>
              </w:rPr>
              <w:t>äusser</w:t>
            </w:r>
            <w:r w:rsidR="00D51373">
              <w:rPr>
                <w:rFonts w:ascii="Arial" w:hAnsi="Arial"/>
                <w:b/>
                <w:sz w:val="20"/>
                <w:lang w:val="de-DE"/>
              </w:rPr>
              <w:t>n</w:t>
            </w:r>
            <w:proofErr w:type="spellEnd"/>
            <w:r w:rsidR="00D51373">
              <w:rPr>
                <w:rFonts w:ascii="Arial" w:hAnsi="Arial"/>
                <w:b/>
                <w:sz w:val="20"/>
                <w:lang w:val="de-DE"/>
              </w:rPr>
              <w:t xml:space="preserve"> sie sich die Gesprächspartner </w:t>
            </w:r>
            <w:r w:rsidR="002B0CD5" w:rsidRPr="00D51373">
              <w:rPr>
                <w:rFonts w:ascii="Arial" w:hAnsi="Arial"/>
                <w:b/>
                <w:sz w:val="20"/>
                <w:lang w:val="de-DE"/>
              </w:rPr>
              <w:t>zur Gegenpartei?</w:t>
            </w:r>
            <w:r w:rsidR="00D51373">
              <w:rPr>
                <w:rFonts w:ascii="Arial" w:hAnsi="Arial"/>
                <w:b/>
                <w:sz w:val="20"/>
                <w:lang w:val="de-DE"/>
              </w:rPr>
              <w:br/>
            </w:r>
            <w:r w:rsidR="00D51373">
              <w:rPr>
                <w:rFonts w:ascii="Arial" w:hAnsi="Arial"/>
                <w:b/>
                <w:sz w:val="20"/>
                <w:lang w:val="de-DE"/>
              </w:rPr>
              <w:br/>
            </w:r>
            <w:proofErr w:type="spellStart"/>
            <w:r w:rsidR="00D51373" w:rsidRPr="00D51373">
              <w:rPr>
                <w:rFonts w:ascii="Arial" w:hAnsi="Arial"/>
                <w:sz w:val="20"/>
                <w:lang w:val="de-DE"/>
              </w:rPr>
              <w:t>Vlachyna</w:t>
            </w:r>
            <w:proofErr w:type="spellEnd"/>
            <w:r w:rsidR="00D51373" w:rsidRPr="00D51373">
              <w:rPr>
                <w:rFonts w:ascii="Arial" w:hAnsi="Arial"/>
                <w:sz w:val="20"/>
                <w:lang w:val="de-DE"/>
              </w:rPr>
              <w:t xml:space="preserve"> zeigt sich den Serben gegenüber als unversöhnlich. Er würde niemals mit serbischen Köchen oder Köchinnen gemeinsam koche</w:t>
            </w:r>
            <w:r w:rsidR="00D51373">
              <w:rPr>
                <w:rFonts w:ascii="Arial" w:hAnsi="Arial"/>
                <w:sz w:val="20"/>
                <w:lang w:val="de-DE"/>
              </w:rPr>
              <w:t>n: «... nur über meine Leiche.»</w:t>
            </w:r>
            <w:r w:rsidR="00D51373">
              <w:rPr>
                <w:rFonts w:ascii="Arial" w:hAnsi="Arial"/>
                <w:sz w:val="20"/>
                <w:lang w:val="de-DE"/>
              </w:rPr>
              <w:br/>
            </w:r>
            <w:r w:rsidR="00D51373">
              <w:rPr>
                <w:rFonts w:ascii="Arial" w:hAnsi="Arial"/>
                <w:sz w:val="20"/>
                <w:lang w:val="de-DE"/>
              </w:rPr>
              <w:br/>
            </w:r>
            <w:proofErr w:type="spellStart"/>
            <w:r w:rsidR="00D51373" w:rsidRPr="00D51373">
              <w:rPr>
                <w:rFonts w:ascii="Arial" w:hAnsi="Arial"/>
                <w:sz w:val="20"/>
                <w:lang w:val="de-DE"/>
              </w:rPr>
              <w:t>Mudrenic</w:t>
            </w:r>
            <w:proofErr w:type="spellEnd"/>
            <w:r w:rsidR="00D51373" w:rsidRPr="00D51373">
              <w:rPr>
                <w:rFonts w:ascii="Arial" w:hAnsi="Arial"/>
                <w:sz w:val="20"/>
                <w:lang w:val="de-DE"/>
              </w:rPr>
              <w:t xml:space="preserve"> und Pavlovic hingegen können es sich sehr wohl vorstellen, zusammen mit Kroaten zu kochen. Sie zeigen auch für die gegnerische Seite Mitgefühl.</w:t>
            </w:r>
            <w:r w:rsidR="00095C1F">
              <w:rPr>
                <w:rFonts w:ascii="Arial" w:hAnsi="Arial"/>
                <w:b/>
                <w:sz w:val="20"/>
                <w:lang w:val="de-DE"/>
              </w:rPr>
              <w:br/>
            </w:r>
            <w:r w:rsidR="00D51373">
              <w:rPr>
                <w:rFonts w:ascii="Arial" w:hAnsi="Arial"/>
                <w:sz w:val="24"/>
                <w:szCs w:val="24"/>
                <w:lang w:val="de-DE"/>
              </w:rPr>
              <w:br/>
            </w:r>
            <w:r w:rsidR="00095C1F">
              <w:rPr>
                <w:rFonts w:ascii="Arial" w:hAnsi="Arial"/>
                <w:sz w:val="24"/>
                <w:szCs w:val="24"/>
                <w:lang w:val="de-DE"/>
              </w:rPr>
              <w:br/>
            </w:r>
            <w:r w:rsidR="002B0CD5" w:rsidRPr="00D51373">
              <w:rPr>
                <w:rFonts w:ascii="Arial" w:hAnsi="Arial"/>
                <w:b/>
                <w:sz w:val="20"/>
                <w:lang w:val="de-DE"/>
              </w:rPr>
              <w:t>Wie hat der Autor die Interviews geschnitten?</w:t>
            </w:r>
            <w:r w:rsidR="00095C1F">
              <w:rPr>
                <w:rFonts w:ascii="Arial" w:hAnsi="Arial"/>
                <w:sz w:val="20"/>
                <w:lang w:val="de-DE"/>
              </w:rPr>
              <w:br/>
            </w:r>
            <w:r w:rsidR="00D51373">
              <w:rPr>
                <w:rFonts w:ascii="Arial" w:hAnsi="Arial"/>
                <w:sz w:val="24"/>
                <w:szCs w:val="24"/>
                <w:lang w:val="de-DE"/>
              </w:rPr>
              <w:br/>
            </w:r>
            <w:r w:rsidR="00D51373" w:rsidRPr="00D51373">
              <w:rPr>
                <w:rFonts w:ascii="Arial" w:hAnsi="Arial"/>
                <w:sz w:val="20"/>
                <w:lang w:val="de-DE"/>
              </w:rPr>
              <w:t>Grundsätzlich sprechen die Interviewpartner durch den zwischen ihnen alternierenden Schnitt nicht nur mit dem Regisseur und damit mit dem Publikum, sonde</w:t>
            </w:r>
            <w:r w:rsidR="00D51373">
              <w:rPr>
                <w:rFonts w:ascii="Arial" w:hAnsi="Arial"/>
                <w:sz w:val="20"/>
                <w:lang w:val="de-DE"/>
              </w:rPr>
              <w:t>rn auch mit- und gegen</w:t>
            </w:r>
            <w:r w:rsidR="007D26FC">
              <w:rPr>
                <w:rFonts w:ascii="Arial" w:hAnsi="Arial"/>
                <w:sz w:val="20"/>
                <w:lang w:val="de-DE"/>
              </w:rPr>
              <w:t xml:space="preserve"> </w:t>
            </w:r>
            <w:r w:rsidR="00D51373">
              <w:rPr>
                <w:rFonts w:ascii="Arial" w:hAnsi="Arial"/>
                <w:sz w:val="20"/>
                <w:lang w:val="de-DE"/>
              </w:rPr>
              <w:t>einander.</w:t>
            </w:r>
            <w:r w:rsidR="00D51373">
              <w:rPr>
                <w:rFonts w:ascii="Arial" w:hAnsi="Arial"/>
                <w:sz w:val="20"/>
                <w:lang w:val="de-DE"/>
              </w:rPr>
              <w:br/>
            </w:r>
            <w:r w:rsidR="00D51373">
              <w:rPr>
                <w:rFonts w:ascii="Arial" w:hAnsi="Arial"/>
                <w:sz w:val="20"/>
                <w:lang w:val="de-DE"/>
              </w:rPr>
              <w:br/>
            </w:r>
            <w:proofErr w:type="spellStart"/>
            <w:r w:rsidR="00D51373" w:rsidRPr="00D51373">
              <w:rPr>
                <w:rFonts w:ascii="Arial" w:hAnsi="Arial"/>
                <w:sz w:val="20"/>
                <w:lang w:val="de-DE"/>
              </w:rPr>
              <w:t>Kerekes</w:t>
            </w:r>
            <w:proofErr w:type="spellEnd"/>
            <w:r w:rsidR="00D51373" w:rsidRPr="00D51373">
              <w:rPr>
                <w:rFonts w:ascii="Arial" w:hAnsi="Arial"/>
                <w:sz w:val="20"/>
                <w:lang w:val="de-DE"/>
              </w:rPr>
              <w:t xml:space="preserve"> lässt die Protagonisten mehr oder weniger für sich selber sprechen, ohne a</w:t>
            </w:r>
            <w:r w:rsidR="007D26FC">
              <w:rPr>
                <w:rFonts w:ascii="Arial" w:hAnsi="Arial"/>
                <w:sz w:val="20"/>
                <w:lang w:val="de-DE"/>
              </w:rPr>
              <w:t>llzu manipula</w:t>
            </w:r>
            <w:r w:rsidR="00D51373">
              <w:rPr>
                <w:rFonts w:ascii="Arial" w:hAnsi="Arial"/>
                <w:sz w:val="20"/>
                <w:lang w:val="de-DE"/>
              </w:rPr>
              <w:t>tiv zu schneiden.</w:t>
            </w:r>
            <w:r w:rsidR="00D51373">
              <w:rPr>
                <w:rFonts w:ascii="Arial" w:hAnsi="Arial"/>
                <w:sz w:val="20"/>
                <w:lang w:val="de-DE"/>
              </w:rPr>
              <w:br/>
            </w:r>
            <w:r w:rsidR="00D51373">
              <w:rPr>
                <w:rFonts w:ascii="Arial" w:hAnsi="Arial"/>
                <w:sz w:val="20"/>
                <w:lang w:val="de-DE"/>
              </w:rPr>
              <w:br/>
            </w:r>
            <w:r w:rsidR="00D51373" w:rsidRPr="00D51373">
              <w:rPr>
                <w:rFonts w:ascii="Arial" w:hAnsi="Arial"/>
                <w:sz w:val="20"/>
                <w:lang w:val="de-DE"/>
              </w:rPr>
              <w:t xml:space="preserve">Originalaufnahmen verwendet der Regisseur nur zur Bebilderung der Aussagen </w:t>
            </w:r>
            <w:proofErr w:type="spellStart"/>
            <w:r w:rsidR="00D51373" w:rsidRPr="00D51373">
              <w:rPr>
                <w:rFonts w:ascii="Arial" w:hAnsi="Arial"/>
                <w:sz w:val="20"/>
                <w:lang w:val="de-DE"/>
              </w:rPr>
              <w:t>Trbovichs</w:t>
            </w:r>
            <w:proofErr w:type="spellEnd"/>
            <w:r w:rsidR="00D51373" w:rsidRPr="00D51373">
              <w:rPr>
                <w:rFonts w:ascii="Arial" w:hAnsi="Arial"/>
                <w:sz w:val="20"/>
                <w:lang w:val="de-DE"/>
              </w:rPr>
              <w:t xml:space="preserve"> (Szenen von Banketten mit Tito und seiner Beerdigung). Zum Kroatienkrieg sind keine Archivbilder zu sehen.</w:t>
            </w:r>
            <w:r w:rsidR="00D51373">
              <w:rPr>
                <w:rFonts w:ascii="Arial" w:hAnsi="Arial"/>
                <w:sz w:val="24"/>
                <w:szCs w:val="24"/>
                <w:lang w:val="de-DE"/>
              </w:rPr>
              <w:br/>
            </w:r>
            <w:r w:rsidR="00D51373">
              <w:rPr>
                <w:rFonts w:ascii="Arial" w:hAnsi="Arial"/>
                <w:sz w:val="24"/>
                <w:szCs w:val="24"/>
                <w:lang w:val="de-DE"/>
              </w:rPr>
              <w:br/>
            </w:r>
            <w:r w:rsidR="00837BAD">
              <w:rPr>
                <w:rFonts w:ascii="Arial" w:hAnsi="Arial"/>
                <w:sz w:val="24"/>
                <w:szCs w:val="24"/>
                <w:lang w:val="de-DE"/>
              </w:rPr>
              <w:br/>
            </w:r>
            <w:r w:rsidR="00095C1F" w:rsidRPr="00D51373">
              <w:rPr>
                <w:rFonts w:ascii="Arial" w:hAnsi="Arial"/>
                <w:b/>
                <w:sz w:val="20"/>
                <w:lang w:val="de-DE"/>
              </w:rPr>
              <w:t>Welche Haltung nimmt der Regisseur gegenüber den Ereignissen und Gesprächspartner</w:t>
            </w:r>
            <w:r w:rsidR="00050B8C" w:rsidRPr="00D51373">
              <w:rPr>
                <w:rFonts w:ascii="Arial" w:hAnsi="Arial"/>
                <w:b/>
                <w:sz w:val="20"/>
                <w:lang w:val="de-DE"/>
              </w:rPr>
              <w:t xml:space="preserve">n ein? </w:t>
            </w:r>
            <w:r w:rsidR="00837BAD" w:rsidRPr="00D51373">
              <w:rPr>
                <w:rFonts w:ascii="Arial" w:hAnsi="Arial"/>
                <w:b/>
                <w:sz w:val="20"/>
                <w:lang w:val="de-DE"/>
              </w:rPr>
              <w:t>Wie «wertet» der Film</w:t>
            </w:r>
            <w:r w:rsidR="00050B8C" w:rsidRPr="00D51373">
              <w:rPr>
                <w:rFonts w:ascii="Arial" w:hAnsi="Arial"/>
                <w:b/>
                <w:sz w:val="20"/>
                <w:lang w:val="de-DE"/>
              </w:rPr>
              <w:t xml:space="preserve"> im Allgemeinen</w:t>
            </w:r>
            <w:r w:rsidR="00837BAD" w:rsidRPr="00D51373">
              <w:rPr>
                <w:rFonts w:ascii="Arial" w:hAnsi="Arial"/>
                <w:b/>
                <w:sz w:val="20"/>
                <w:lang w:val="de-DE"/>
              </w:rPr>
              <w:t>?</w:t>
            </w:r>
            <w:r w:rsidR="00D51373">
              <w:rPr>
                <w:rFonts w:ascii="Arial" w:hAnsi="Arial"/>
                <w:sz w:val="20"/>
                <w:lang w:val="de-DE"/>
              </w:rPr>
              <w:br/>
            </w:r>
            <w:r w:rsidR="00D51373">
              <w:rPr>
                <w:rFonts w:ascii="Arial" w:hAnsi="Arial"/>
                <w:sz w:val="20"/>
                <w:lang w:val="de-DE"/>
              </w:rPr>
              <w:br/>
            </w:r>
            <w:r w:rsidR="00D51373" w:rsidRPr="00D51373">
              <w:rPr>
                <w:rFonts w:ascii="Arial" w:hAnsi="Arial"/>
                <w:sz w:val="20"/>
                <w:lang w:val="de-DE"/>
              </w:rPr>
              <w:t>Der Regisseur verhält sich neutral (neutraler als im Tei</w:t>
            </w:r>
            <w:r w:rsidR="00D51373">
              <w:rPr>
                <w:rFonts w:ascii="Arial" w:hAnsi="Arial"/>
                <w:sz w:val="20"/>
                <w:lang w:val="de-DE"/>
              </w:rPr>
              <w:t xml:space="preserve">l über den Zweiten Weltkrieg). </w:t>
            </w:r>
            <w:r w:rsidR="00D51373">
              <w:rPr>
                <w:rFonts w:ascii="Arial" w:hAnsi="Arial"/>
                <w:sz w:val="20"/>
                <w:lang w:val="de-DE"/>
              </w:rPr>
              <w:br/>
            </w:r>
            <w:r w:rsidR="00D51373">
              <w:rPr>
                <w:rFonts w:ascii="Arial" w:hAnsi="Arial"/>
                <w:sz w:val="20"/>
                <w:lang w:val="de-DE"/>
              </w:rPr>
              <w:br/>
            </w:r>
            <w:r w:rsidR="00D51373" w:rsidRPr="00D51373">
              <w:rPr>
                <w:rFonts w:ascii="Arial" w:hAnsi="Arial"/>
                <w:sz w:val="20"/>
                <w:lang w:val="de-DE"/>
              </w:rPr>
              <w:t xml:space="preserve">Bemerkenswert sind die Szenerien, in welchen die </w:t>
            </w:r>
            <w:r w:rsidR="00D51373">
              <w:rPr>
                <w:rFonts w:ascii="Arial" w:hAnsi="Arial"/>
                <w:sz w:val="20"/>
                <w:lang w:val="de-DE"/>
              </w:rPr>
              <w:t xml:space="preserve">Interviews aufgenommen wurden: </w:t>
            </w:r>
            <w:proofErr w:type="spellStart"/>
            <w:r w:rsidR="00D51373" w:rsidRPr="00D51373">
              <w:rPr>
                <w:rFonts w:ascii="Arial" w:hAnsi="Arial"/>
                <w:sz w:val="20"/>
                <w:lang w:val="de-DE"/>
              </w:rPr>
              <w:t>Vlachyna</w:t>
            </w:r>
            <w:proofErr w:type="spellEnd"/>
            <w:r w:rsidR="00D51373" w:rsidRPr="00D51373">
              <w:rPr>
                <w:rFonts w:ascii="Arial" w:hAnsi="Arial"/>
                <w:sz w:val="20"/>
                <w:lang w:val="de-DE"/>
              </w:rPr>
              <w:t xml:space="preserve"> kocht mitten in einem von Minen verseuchten ehemaligem Kampf</w:t>
            </w:r>
            <w:r w:rsidR="00D51373">
              <w:rPr>
                <w:rFonts w:ascii="Arial" w:hAnsi="Arial"/>
                <w:sz w:val="20"/>
                <w:lang w:val="de-DE"/>
              </w:rPr>
              <w:t xml:space="preserve">gebiet. </w:t>
            </w:r>
            <w:proofErr w:type="spellStart"/>
            <w:r w:rsidR="00D51373" w:rsidRPr="00D51373">
              <w:rPr>
                <w:rFonts w:ascii="Arial" w:hAnsi="Arial"/>
                <w:sz w:val="20"/>
                <w:lang w:val="de-DE"/>
              </w:rPr>
              <w:t>Mudrenic</w:t>
            </w:r>
            <w:proofErr w:type="spellEnd"/>
            <w:r w:rsidR="00D51373" w:rsidRPr="00D51373">
              <w:rPr>
                <w:rFonts w:ascii="Arial" w:hAnsi="Arial"/>
                <w:sz w:val="20"/>
                <w:lang w:val="de-DE"/>
              </w:rPr>
              <w:t xml:space="preserve"> und Pavlovic kochen in einem zerschossenen Ausflugsrestaurant an </w:t>
            </w:r>
            <w:r w:rsidR="00D51373">
              <w:rPr>
                <w:rFonts w:ascii="Arial" w:hAnsi="Arial"/>
                <w:sz w:val="20"/>
                <w:lang w:val="de-DE"/>
              </w:rPr>
              <w:t xml:space="preserve">einem idyllisch gelegenen See. </w:t>
            </w:r>
            <w:r w:rsidR="00D51373" w:rsidRPr="00D51373">
              <w:rPr>
                <w:rFonts w:ascii="Arial" w:hAnsi="Arial"/>
                <w:sz w:val="20"/>
                <w:lang w:val="de-DE"/>
              </w:rPr>
              <w:t>Mit diesem Setting will der Regisseur die Absurdität von Krieg ganz generell visualisieren.</w:t>
            </w:r>
          </w:p>
          <w:p w14:paraId="3A5B32E2" w14:textId="481455FF" w:rsidR="00466F70" w:rsidRPr="00837BAD" w:rsidRDefault="00466F70" w:rsidP="002B0CD5">
            <w:pPr>
              <w:spacing w:after="120" w:line="360" w:lineRule="auto"/>
              <w:rPr>
                <w:rFonts w:ascii="Arial" w:hAnsi="Arial"/>
                <w:sz w:val="20"/>
                <w:lang w:val="de-DE"/>
              </w:rPr>
            </w:pPr>
          </w:p>
        </w:tc>
      </w:tr>
      <w:tr w:rsidR="0034453A" w:rsidRPr="00EB54B8" w14:paraId="5D0275E8" w14:textId="77777777" w:rsidTr="008F19C9">
        <w:trPr>
          <w:trHeight w:val="841"/>
        </w:trPr>
        <w:tc>
          <w:tcPr>
            <w:tcW w:w="9568" w:type="dxa"/>
          </w:tcPr>
          <w:p w14:paraId="3D7F7042" w14:textId="0091327A" w:rsidR="0034453A" w:rsidRDefault="00C96586" w:rsidP="00EC5E7F">
            <w:pPr>
              <w:spacing w:after="120" w:line="360" w:lineRule="auto"/>
              <w:rPr>
                <w:rFonts w:ascii="Arial" w:hAnsi="Arial"/>
                <w:sz w:val="20"/>
                <w:lang w:val="de-DE"/>
              </w:rPr>
            </w:pPr>
            <w:r>
              <w:rPr>
                <w:rFonts w:ascii="Arial" w:hAnsi="Arial"/>
                <w:sz w:val="20"/>
                <w:lang w:val="de-DE"/>
              </w:rPr>
              <w:lastRenderedPageBreak/>
              <w:t xml:space="preserve">Suchen </w:t>
            </w:r>
            <w:r w:rsidR="00EC5E7F">
              <w:rPr>
                <w:rFonts w:ascii="Arial" w:hAnsi="Arial"/>
                <w:sz w:val="20"/>
                <w:lang w:val="de-DE"/>
              </w:rPr>
              <w:t>in deinem</w:t>
            </w:r>
            <w:r>
              <w:rPr>
                <w:rFonts w:ascii="Arial" w:hAnsi="Arial"/>
                <w:sz w:val="20"/>
                <w:lang w:val="de-DE"/>
              </w:rPr>
              <w:t xml:space="preserve"> Geschichtsbuch und im Internet erklärende </w:t>
            </w:r>
            <w:r w:rsidR="00EC5E7F">
              <w:rPr>
                <w:rFonts w:ascii="Arial" w:hAnsi="Arial"/>
                <w:sz w:val="20"/>
                <w:lang w:val="de-DE"/>
              </w:rPr>
              <w:t>und weiter</w:t>
            </w:r>
            <w:r w:rsidR="002B0CD5">
              <w:rPr>
                <w:rFonts w:ascii="Arial" w:hAnsi="Arial"/>
                <w:sz w:val="20"/>
                <w:lang w:val="de-DE"/>
              </w:rPr>
              <w:t xml:space="preserve">führende Informationen zu </w:t>
            </w:r>
            <w:r>
              <w:rPr>
                <w:rFonts w:ascii="Arial" w:hAnsi="Arial"/>
                <w:sz w:val="20"/>
                <w:lang w:val="de-DE"/>
              </w:rPr>
              <w:t>folgenden Ereignissen und Persönlichkeiten.</w:t>
            </w:r>
            <w:r w:rsidR="00EC5E7F">
              <w:rPr>
                <w:rFonts w:ascii="Arial" w:hAnsi="Arial"/>
                <w:sz w:val="20"/>
                <w:lang w:val="de-DE"/>
              </w:rPr>
              <w:br/>
            </w:r>
          </w:p>
        </w:tc>
      </w:tr>
      <w:tr w:rsidR="00EC5E7F" w:rsidRPr="00EB54B8" w14:paraId="1A4AFC7F" w14:textId="77777777" w:rsidTr="008F19C9">
        <w:trPr>
          <w:trHeight w:val="841"/>
        </w:trPr>
        <w:tc>
          <w:tcPr>
            <w:tcW w:w="9568" w:type="dxa"/>
          </w:tcPr>
          <w:p w14:paraId="7082689B" w14:textId="76DC7D11" w:rsidR="00F328B9" w:rsidRPr="00F328B9" w:rsidRDefault="002B0CD5" w:rsidP="00F328B9">
            <w:pPr>
              <w:spacing w:after="120"/>
              <w:rPr>
                <w:rFonts w:ascii="Arial" w:hAnsi="Arial"/>
                <w:sz w:val="18"/>
                <w:szCs w:val="18"/>
                <w:lang w:val="de-DE"/>
              </w:rPr>
            </w:pPr>
            <w:r>
              <w:rPr>
                <w:rFonts w:ascii="Arial" w:hAnsi="Arial"/>
                <w:b/>
                <w:sz w:val="20"/>
                <w:lang w:val="de-DE"/>
              </w:rPr>
              <w:t>Josip Broz Tito</w:t>
            </w:r>
            <w:r w:rsidR="00BF1933">
              <w:rPr>
                <w:rFonts w:ascii="Arial" w:hAnsi="Arial"/>
                <w:b/>
                <w:sz w:val="20"/>
                <w:lang w:val="de-DE"/>
              </w:rPr>
              <w:br/>
            </w:r>
            <w:r w:rsidR="00BF1933">
              <w:rPr>
                <w:rFonts w:ascii="Arial" w:hAnsi="Arial"/>
                <w:b/>
                <w:sz w:val="20"/>
                <w:lang w:val="de-DE"/>
              </w:rPr>
              <w:br/>
            </w:r>
            <w:r w:rsidR="00BF1933" w:rsidRPr="00BF1933">
              <w:rPr>
                <w:rFonts w:ascii="Arial" w:hAnsi="Arial"/>
                <w:sz w:val="20"/>
                <w:lang w:val="de-DE"/>
              </w:rPr>
              <w:t>http://de.wikipedia.org/wiki/Josip_Broz_Tito</w:t>
            </w:r>
            <w:r w:rsidR="00BF1933">
              <w:rPr>
                <w:rFonts w:ascii="Arial" w:hAnsi="Arial"/>
                <w:b/>
                <w:sz w:val="20"/>
                <w:lang w:val="de-DE"/>
              </w:rPr>
              <w:br/>
            </w:r>
            <w:r w:rsidR="00BF1933" w:rsidRPr="00BF1933">
              <w:rPr>
                <w:rFonts w:ascii="Arial" w:hAnsi="Arial"/>
                <w:b/>
                <w:sz w:val="18"/>
                <w:szCs w:val="18"/>
                <w:lang w:val="de-DE"/>
              </w:rPr>
              <w:br/>
            </w:r>
            <w:r w:rsidR="00BF1933" w:rsidRPr="00BF1933">
              <w:rPr>
                <w:rFonts w:ascii="Arial" w:hAnsi="Arial"/>
                <w:sz w:val="18"/>
                <w:szCs w:val="18"/>
                <w:lang w:val="de-DE"/>
              </w:rPr>
              <w:t>* 1892</w:t>
            </w:r>
            <w:r w:rsidR="00BF1933" w:rsidRPr="00BF1933">
              <w:rPr>
                <w:rFonts w:ascii="Arial" w:hAnsi="Arial"/>
                <w:sz w:val="18"/>
                <w:szCs w:val="18"/>
                <w:lang w:val="de-DE"/>
              </w:rPr>
              <w:br/>
            </w:r>
            <w:r w:rsidR="00BF1933" w:rsidRPr="00BF1933">
              <w:rPr>
                <w:rFonts w:ascii="Arial" w:hAnsi="Arial"/>
                <w:sz w:val="18"/>
                <w:szCs w:val="18"/>
                <w:lang w:val="de-DE"/>
              </w:rPr>
              <w:br/>
              <w:t>1941-43: Nach dem Überfall deutscher und italienischer Truppen auf Jugoslawien und der Kapitulation der jugoslawischen Streitkräfte organisiert Tito den Widerstand. Die jugoslawischen Partisanen leisten den Besatzungstruppen bis zu deren Niederlage gegen die Rote Armee dauerhaften Widerstand und binden starke militärische Kräfte der Achsenmächte.</w:t>
            </w:r>
            <w:r w:rsidR="00BF1933" w:rsidRPr="00BF1933">
              <w:rPr>
                <w:rFonts w:ascii="Arial" w:hAnsi="Arial"/>
                <w:sz w:val="18"/>
                <w:szCs w:val="18"/>
                <w:lang w:val="de-DE"/>
              </w:rPr>
              <w:br/>
            </w:r>
            <w:r w:rsidR="00BF1933" w:rsidRPr="00BF1933">
              <w:rPr>
                <w:rFonts w:ascii="Arial" w:hAnsi="Arial"/>
                <w:sz w:val="18"/>
                <w:szCs w:val="18"/>
                <w:lang w:val="de-DE"/>
              </w:rPr>
              <w:br/>
              <w:t>Nach dem Krieg wurde Tito zunächst Ministerpräsident der Föderativen Republik Jugoslawien, ab 1953 bis zu seinem Tod deren Staatspräsident. Er verfolgte einen von der Sowjetunion unabhängigen Kurs und galt seit den 50er Jahren während des Kalten Krieges als einer der führenden Staatmänner der Bewegung der blockfreien Staaten. Dank Charisma und Autorität gelang es Tito, den Vielvölkerstaat Jugoslawien zusammenzuhalten.</w:t>
            </w:r>
            <w:r w:rsidR="00BF1933" w:rsidRPr="00BF1933">
              <w:rPr>
                <w:rFonts w:ascii="Arial" w:hAnsi="Arial"/>
                <w:sz w:val="18"/>
                <w:szCs w:val="18"/>
                <w:lang w:val="de-DE"/>
              </w:rPr>
              <w:br/>
            </w:r>
            <w:r w:rsidR="00BF1933" w:rsidRPr="00BF1933">
              <w:rPr>
                <w:rFonts w:ascii="Arial" w:hAnsi="Arial"/>
                <w:sz w:val="18"/>
                <w:szCs w:val="18"/>
                <w:lang w:val="de-DE"/>
              </w:rPr>
              <w:br/>
              <w:t>† 1980</w:t>
            </w:r>
            <w:r w:rsidR="00BF1933" w:rsidRPr="00BF1933">
              <w:rPr>
                <w:rFonts w:ascii="Arial" w:hAnsi="Arial"/>
                <w:sz w:val="18"/>
                <w:szCs w:val="18"/>
                <w:lang w:val="de-DE"/>
              </w:rPr>
              <w:br/>
            </w:r>
            <w:r w:rsidR="00BF1933" w:rsidRPr="00BF1933">
              <w:rPr>
                <w:rFonts w:ascii="Arial" w:hAnsi="Arial"/>
                <w:sz w:val="18"/>
                <w:szCs w:val="18"/>
                <w:lang w:val="de-DE"/>
              </w:rPr>
              <w:br/>
              <w:t>Nach Titos Tod machten sich in Jugoslawien schnell Verfallserschein</w:t>
            </w:r>
            <w:r w:rsidR="00F328B9">
              <w:rPr>
                <w:rFonts w:ascii="Arial" w:hAnsi="Arial"/>
                <w:sz w:val="18"/>
                <w:szCs w:val="18"/>
                <w:lang w:val="de-DE"/>
              </w:rPr>
              <w:t>ungen bemerkbar. Nach der Auflö</w:t>
            </w:r>
            <w:r w:rsidR="00BF1933" w:rsidRPr="00BF1933">
              <w:rPr>
                <w:rFonts w:ascii="Arial" w:hAnsi="Arial"/>
                <w:sz w:val="18"/>
                <w:szCs w:val="18"/>
                <w:lang w:val="de-DE"/>
              </w:rPr>
              <w:t xml:space="preserve">sung der Sowjetunion strebten auch die jugoslawischen Teilrepubliken ihre Unabhängigkeit an, was zu verschiedenen kriegerischen Konflikten führte (siehe </w:t>
            </w:r>
            <w:r w:rsidR="00F328B9">
              <w:rPr>
                <w:rFonts w:ascii="Arial" w:hAnsi="Arial"/>
                <w:sz w:val="18"/>
                <w:szCs w:val="18"/>
                <w:lang w:val="de-DE"/>
              </w:rPr>
              <w:t>unten</w:t>
            </w:r>
            <w:r w:rsidR="00BF1933" w:rsidRPr="00BF1933">
              <w:rPr>
                <w:rFonts w:ascii="Arial" w:hAnsi="Arial"/>
                <w:sz w:val="18"/>
                <w:szCs w:val="18"/>
                <w:lang w:val="de-DE"/>
              </w:rPr>
              <w:t>).</w:t>
            </w:r>
            <w:r w:rsidR="00EC5E7F" w:rsidRPr="00BF1933">
              <w:rPr>
                <w:rFonts w:ascii="Arial" w:hAnsi="Arial"/>
                <w:sz w:val="18"/>
                <w:szCs w:val="18"/>
                <w:lang w:val="de-DE"/>
              </w:rPr>
              <w:br/>
            </w:r>
            <w:r w:rsidR="00BF1933" w:rsidRPr="00BF1933">
              <w:rPr>
                <w:rFonts w:ascii="Arial" w:hAnsi="Arial"/>
                <w:sz w:val="18"/>
                <w:szCs w:val="18"/>
                <w:lang w:val="de-DE"/>
              </w:rPr>
              <w:br/>
            </w:r>
            <w:r w:rsidR="00EC5E7F">
              <w:rPr>
                <w:rFonts w:ascii="Arial" w:hAnsi="Arial"/>
                <w:sz w:val="20"/>
                <w:lang w:val="de-DE"/>
              </w:rPr>
              <w:br/>
            </w:r>
            <w:r w:rsidRPr="002B0CD5">
              <w:rPr>
                <w:rFonts w:ascii="Arial" w:hAnsi="Arial"/>
                <w:b/>
                <w:sz w:val="20"/>
                <w:lang w:val="de-DE"/>
              </w:rPr>
              <w:t>Die Folgen von Titos Tod – Der Zerfall der Republik Jugoslawien</w:t>
            </w:r>
            <w:r w:rsidR="00F328B9">
              <w:rPr>
                <w:rFonts w:ascii="Arial" w:hAnsi="Arial"/>
                <w:b/>
                <w:sz w:val="20"/>
                <w:lang w:val="de-DE"/>
              </w:rPr>
              <w:br/>
            </w:r>
            <w:r w:rsidR="00F328B9" w:rsidRPr="00F328B9">
              <w:rPr>
                <w:rFonts w:ascii="Arial" w:hAnsi="Arial"/>
                <w:b/>
                <w:sz w:val="18"/>
                <w:szCs w:val="18"/>
                <w:lang w:val="de-DE"/>
              </w:rPr>
              <w:br/>
            </w:r>
            <w:r w:rsidR="00F328B9" w:rsidRPr="00F328B9">
              <w:rPr>
                <w:rFonts w:ascii="Arial" w:hAnsi="Arial"/>
                <w:sz w:val="18"/>
                <w:szCs w:val="18"/>
                <w:lang w:val="de-DE"/>
              </w:rPr>
              <w:t>http://de.wikipedia.org/wiki/Geschichte_Jugoslawiens</w:t>
            </w:r>
            <w:r w:rsidR="00F328B9" w:rsidRPr="00F328B9">
              <w:rPr>
                <w:rFonts w:ascii="Arial" w:hAnsi="Arial"/>
                <w:b/>
                <w:sz w:val="18"/>
                <w:szCs w:val="18"/>
                <w:lang w:val="de-DE"/>
              </w:rPr>
              <w:br/>
            </w:r>
            <w:r w:rsidR="00F328B9" w:rsidRPr="00F328B9">
              <w:rPr>
                <w:rFonts w:ascii="Arial" w:hAnsi="Arial"/>
                <w:b/>
                <w:sz w:val="18"/>
                <w:szCs w:val="18"/>
                <w:lang w:val="de-DE"/>
              </w:rPr>
              <w:br/>
            </w:r>
            <w:r w:rsidR="00F328B9" w:rsidRPr="00F328B9">
              <w:rPr>
                <w:rFonts w:ascii="Arial" w:hAnsi="Arial"/>
                <w:sz w:val="18"/>
                <w:szCs w:val="18"/>
                <w:lang w:val="de-DE"/>
              </w:rPr>
              <w:t>Eine hervorragende, ausführliche Zusammenfassung der Ereignisse um d</w:t>
            </w:r>
            <w:r w:rsidR="00E3467E">
              <w:rPr>
                <w:rFonts w:ascii="Arial" w:hAnsi="Arial"/>
                <w:sz w:val="18"/>
                <w:szCs w:val="18"/>
                <w:lang w:val="de-DE"/>
              </w:rPr>
              <w:t>ie Auflösung des Vielvölkerstaa</w:t>
            </w:r>
            <w:r w:rsidR="00F328B9" w:rsidRPr="00F328B9">
              <w:rPr>
                <w:rFonts w:ascii="Arial" w:hAnsi="Arial"/>
                <w:sz w:val="18"/>
                <w:szCs w:val="18"/>
                <w:lang w:val="de-DE"/>
              </w:rPr>
              <w:t>tes Jugoslawien nach dem Tod von Josip Broz Tito 1980 und der Auflösung der Sowjetunion 1991 findet sich im Schweizer Geschichtsbuch</w:t>
            </w:r>
            <w:r w:rsidR="00F328B9">
              <w:rPr>
                <w:rFonts w:ascii="Arial" w:hAnsi="Arial"/>
                <w:sz w:val="18"/>
                <w:szCs w:val="18"/>
                <w:lang w:val="de-DE"/>
              </w:rPr>
              <w:t>, Bd. 4 auf den Seiten 200–221.</w:t>
            </w:r>
            <w:r w:rsidR="00F328B9">
              <w:rPr>
                <w:rFonts w:ascii="Arial" w:hAnsi="Arial"/>
                <w:sz w:val="18"/>
                <w:szCs w:val="18"/>
                <w:lang w:val="de-DE"/>
              </w:rPr>
              <w:br/>
            </w:r>
            <w:r w:rsidR="00F328B9">
              <w:rPr>
                <w:rFonts w:ascii="Arial" w:hAnsi="Arial"/>
                <w:sz w:val="18"/>
                <w:szCs w:val="18"/>
                <w:lang w:val="de-DE"/>
              </w:rPr>
              <w:br/>
            </w:r>
            <w:r w:rsidR="00F328B9" w:rsidRPr="00F328B9">
              <w:rPr>
                <w:rFonts w:ascii="Arial" w:hAnsi="Arial"/>
                <w:sz w:val="18"/>
                <w:szCs w:val="18"/>
                <w:lang w:val="de-DE"/>
              </w:rPr>
              <w:t>Als «Jugoslawienkriege» bezeichnet man eine Reihe von Kriegen auf</w:t>
            </w:r>
            <w:r w:rsidR="00E3467E">
              <w:rPr>
                <w:rFonts w:ascii="Arial" w:hAnsi="Arial"/>
                <w:sz w:val="18"/>
                <w:szCs w:val="18"/>
                <w:lang w:val="de-DE"/>
              </w:rPr>
              <w:t xml:space="preserve"> dem Gebiet des ehemaligen Jugo</w:t>
            </w:r>
            <w:r w:rsidR="00F328B9" w:rsidRPr="00F328B9">
              <w:rPr>
                <w:rFonts w:ascii="Arial" w:hAnsi="Arial"/>
                <w:sz w:val="18"/>
                <w:szCs w:val="18"/>
                <w:lang w:val="de-DE"/>
              </w:rPr>
              <w:t>slawien in den 90er Jahren des 20. Jahrhunderts, die mit dem Zerfa</w:t>
            </w:r>
            <w:r w:rsidR="00F328B9">
              <w:rPr>
                <w:rFonts w:ascii="Arial" w:hAnsi="Arial"/>
                <w:sz w:val="18"/>
                <w:szCs w:val="18"/>
                <w:lang w:val="de-DE"/>
              </w:rPr>
              <w:t>ll des Staates verbunden waren.</w:t>
            </w:r>
            <w:r w:rsidR="00F328B9">
              <w:rPr>
                <w:rFonts w:ascii="Arial" w:hAnsi="Arial"/>
                <w:sz w:val="18"/>
                <w:szCs w:val="18"/>
                <w:lang w:val="de-DE"/>
              </w:rPr>
              <w:br/>
            </w:r>
            <w:r w:rsidR="00F328B9">
              <w:rPr>
                <w:rFonts w:ascii="Arial" w:hAnsi="Arial"/>
                <w:sz w:val="18"/>
                <w:szCs w:val="18"/>
                <w:lang w:val="de-DE"/>
              </w:rPr>
              <w:br/>
            </w:r>
            <w:r w:rsidR="00F328B9" w:rsidRPr="00F328B9">
              <w:rPr>
                <w:rFonts w:ascii="Arial" w:hAnsi="Arial"/>
                <w:sz w:val="18"/>
                <w:szCs w:val="18"/>
                <w:lang w:val="de-DE"/>
              </w:rPr>
              <w:t>Es handelt sich um folgende Kriege, welche von der Jugoslawischen V</w:t>
            </w:r>
            <w:r w:rsidR="00F328B9">
              <w:rPr>
                <w:rFonts w:ascii="Arial" w:hAnsi="Arial"/>
                <w:sz w:val="18"/>
                <w:szCs w:val="18"/>
                <w:lang w:val="de-DE"/>
              </w:rPr>
              <w:t>olksarmee (und später der serbi</w:t>
            </w:r>
            <w:r w:rsidR="00F328B9" w:rsidRPr="00F328B9">
              <w:rPr>
                <w:rFonts w:ascii="Arial" w:hAnsi="Arial"/>
                <w:sz w:val="18"/>
                <w:szCs w:val="18"/>
                <w:lang w:val="de-DE"/>
              </w:rPr>
              <w:t>schen Armee) gegen abtrünnige</w:t>
            </w:r>
            <w:r w:rsidR="00F328B9">
              <w:rPr>
                <w:rFonts w:ascii="Arial" w:hAnsi="Arial"/>
                <w:sz w:val="18"/>
                <w:szCs w:val="18"/>
                <w:lang w:val="de-DE"/>
              </w:rPr>
              <w:t xml:space="preserve"> Teilrepubliken geführt wurden:</w:t>
            </w:r>
            <w:r w:rsidR="00F328B9">
              <w:rPr>
                <w:rFonts w:ascii="Arial" w:hAnsi="Arial"/>
                <w:sz w:val="18"/>
                <w:szCs w:val="18"/>
                <w:lang w:val="de-DE"/>
              </w:rPr>
              <w:br/>
            </w:r>
            <w:r w:rsidR="00F328B9">
              <w:rPr>
                <w:rFonts w:ascii="Arial" w:hAnsi="Arial"/>
                <w:sz w:val="18"/>
                <w:szCs w:val="18"/>
                <w:lang w:val="de-DE"/>
              </w:rPr>
              <w:br/>
            </w:r>
            <w:r w:rsidR="00F328B9" w:rsidRPr="00F328B9">
              <w:rPr>
                <w:rFonts w:ascii="Arial" w:hAnsi="Arial"/>
                <w:sz w:val="18"/>
                <w:szCs w:val="18"/>
                <w:lang w:val="de-DE"/>
              </w:rPr>
              <w:t>- 10-Ta</w:t>
            </w:r>
            <w:r w:rsidR="00F328B9">
              <w:rPr>
                <w:rFonts w:ascii="Arial" w:hAnsi="Arial"/>
                <w:sz w:val="18"/>
                <w:szCs w:val="18"/>
                <w:lang w:val="de-DE"/>
              </w:rPr>
              <w:t>ge-Krieg gegen Slowenien (1991)</w:t>
            </w:r>
            <w:r w:rsidR="00F328B9">
              <w:rPr>
                <w:rFonts w:ascii="Arial" w:hAnsi="Arial"/>
                <w:sz w:val="18"/>
                <w:szCs w:val="18"/>
                <w:lang w:val="de-DE"/>
              </w:rPr>
              <w:br/>
              <w:t>- Kroatienkrieg (1991-1995)</w:t>
            </w:r>
            <w:r w:rsidR="00F328B9">
              <w:rPr>
                <w:rFonts w:ascii="Arial" w:hAnsi="Arial"/>
                <w:sz w:val="18"/>
                <w:szCs w:val="18"/>
                <w:lang w:val="de-DE"/>
              </w:rPr>
              <w:br/>
              <w:t>- Bosnienkrieg (1992-1995)</w:t>
            </w:r>
            <w:r w:rsidR="00F328B9">
              <w:rPr>
                <w:rFonts w:ascii="Arial" w:hAnsi="Arial"/>
                <w:sz w:val="18"/>
                <w:szCs w:val="18"/>
                <w:lang w:val="de-DE"/>
              </w:rPr>
              <w:br/>
            </w:r>
            <w:r w:rsidR="00F328B9" w:rsidRPr="00F328B9">
              <w:rPr>
                <w:rFonts w:ascii="Arial" w:hAnsi="Arial"/>
                <w:sz w:val="18"/>
                <w:szCs w:val="18"/>
                <w:lang w:val="de-DE"/>
              </w:rPr>
              <w:t>- Kosovok</w:t>
            </w:r>
            <w:r w:rsidR="00F328B9">
              <w:rPr>
                <w:rFonts w:ascii="Arial" w:hAnsi="Arial"/>
                <w:sz w:val="18"/>
                <w:szCs w:val="18"/>
                <w:lang w:val="de-DE"/>
              </w:rPr>
              <w:t>rieg (1999)</w:t>
            </w:r>
            <w:r w:rsidR="00F328B9">
              <w:rPr>
                <w:rFonts w:ascii="Arial" w:hAnsi="Arial"/>
                <w:sz w:val="18"/>
                <w:szCs w:val="18"/>
                <w:lang w:val="de-DE"/>
              </w:rPr>
              <w:br/>
            </w:r>
            <w:r w:rsidR="00F328B9" w:rsidRPr="00F328B9">
              <w:rPr>
                <w:rFonts w:ascii="Arial" w:hAnsi="Arial"/>
                <w:sz w:val="18"/>
                <w:szCs w:val="18"/>
                <w:lang w:val="de-DE"/>
              </w:rPr>
              <w:t>Als Folge dieser Kriege entstanden die neuen Staaten Slowenien, Kroatien, Serbien, Bosnien-Herzegowina und Kosovo. Aus dem ehemaligen Jugoslawien gingen auch die neuen Staaten Montenegro und Mazedonien hervor.</w:t>
            </w:r>
            <w:r w:rsidR="00F328B9" w:rsidRPr="00F328B9">
              <w:rPr>
                <w:rFonts w:ascii="Arial" w:hAnsi="Arial"/>
                <w:sz w:val="18"/>
                <w:szCs w:val="18"/>
                <w:lang w:val="de-DE"/>
              </w:rPr>
              <w:br/>
            </w:r>
            <w:r w:rsidR="00F328B9">
              <w:rPr>
                <w:rFonts w:ascii="Arial" w:hAnsi="Arial"/>
                <w:sz w:val="20"/>
                <w:lang w:val="de-DE"/>
              </w:rPr>
              <w:br/>
            </w:r>
            <w:r w:rsidR="00EC5E7F">
              <w:rPr>
                <w:rFonts w:ascii="Arial" w:hAnsi="Arial"/>
                <w:sz w:val="20"/>
                <w:lang w:val="de-DE"/>
              </w:rPr>
              <w:br/>
            </w:r>
            <w:r w:rsidR="001B5A51" w:rsidRPr="001B5A51">
              <w:rPr>
                <w:rFonts w:ascii="Arial" w:hAnsi="Arial"/>
                <w:b/>
                <w:sz w:val="20"/>
                <w:lang w:val="de-DE"/>
              </w:rPr>
              <w:t>Die Schlacht um Vukovar</w:t>
            </w:r>
            <w:r w:rsidR="00F328B9">
              <w:rPr>
                <w:rFonts w:ascii="Arial" w:hAnsi="Arial"/>
                <w:sz w:val="20"/>
                <w:lang w:val="de-DE"/>
              </w:rPr>
              <w:br/>
            </w:r>
            <w:r w:rsidR="00F328B9">
              <w:rPr>
                <w:rFonts w:ascii="Arial" w:hAnsi="Arial"/>
                <w:sz w:val="20"/>
                <w:lang w:val="de-DE"/>
              </w:rPr>
              <w:br/>
            </w:r>
            <w:r w:rsidR="00F328B9" w:rsidRPr="00F328B9">
              <w:rPr>
                <w:rFonts w:ascii="Arial" w:hAnsi="Arial"/>
                <w:sz w:val="18"/>
                <w:szCs w:val="18"/>
                <w:lang w:val="de-DE"/>
              </w:rPr>
              <w:t>http://de.wikipedia.org/wiki/Schlacht_um_Vukovar</w:t>
            </w:r>
            <w:r w:rsidR="00F328B9">
              <w:rPr>
                <w:rFonts w:ascii="Arial" w:hAnsi="Arial"/>
                <w:sz w:val="18"/>
                <w:szCs w:val="18"/>
                <w:lang w:val="de-DE"/>
              </w:rPr>
              <w:br/>
            </w:r>
            <w:r w:rsidR="00F328B9" w:rsidRPr="00F328B9">
              <w:rPr>
                <w:rFonts w:ascii="Arial" w:hAnsi="Arial"/>
                <w:sz w:val="18"/>
                <w:szCs w:val="18"/>
                <w:lang w:val="de-DE"/>
              </w:rPr>
              <w:br/>
              <w:t xml:space="preserve">«Nach dem Zerfall der Sozialistischen Föderativen Republik Jugoslawien im Jahre 1990 sprach sich die Bevölkerung Kroatiens in einem Referendum </w:t>
            </w:r>
            <w:proofErr w:type="spellStart"/>
            <w:r w:rsidR="00F328B9" w:rsidRPr="00F328B9">
              <w:rPr>
                <w:rFonts w:ascii="Arial" w:hAnsi="Arial"/>
                <w:sz w:val="18"/>
                <w:szCs w:val="18"/>
                <w:lang w:val="de-DE"/>
              </w:rPr>
              <w:t>grossmehrheitlich</w:t>
            </w:r>
            <w:proofErr w:type="spellEnd"/>
            <w:r w:rsidR="00F328B9" w:rsidRPr="00F328B9">
              <w:rPr>
                <w:rFonts w:ascii="Arial" w:hAnsi="Arial"/>
                <w:sz w:val="18"/>
                <w:szCs w:val="18"/>
                <w:lang w:val="de-DE"/>
              </w:rPr>
              <w:t xml:space="preserve"> für die Unabhängigkeit aus. Die von Serbien dominierte jugoslawische Volksarmee (JNA) versuchte in der Folge, die Unabhängigkeitsbestrebungen militärisch zu vereiteln. Es wurde versucht, Gebiete mit </w:t>
            </w:r>
            <w:proofErr w:type="spellStart"/>
            <w:r w:rsidR="00F328B9" w:rsidRPr="00F328B9">
              <w:rPr>
                <w:rFonts w:ascii="Arial" w:hAnsi="Arial"/>
                <w:sz w:val="18"/>
                <w:szCs w:val="18"/>
                <w:lang w:val="de-DE"/>
              </w:rPr>
              <w:t>grösseren</w:t>
            </w:r>
            <w:proofErr w:type="spellEnd"/>
            <w:r w:rsidR="00F328B9" w:rsidRPr="00F328B9">
              <w:rPr>
                <w:rFonts w:ascii="Arial" w:hAnsi="Arial"/>
                <w:sz w:val="18"/>
                <w:szCs w:val="18"/>
                <w:lang w:val="de-DE"/>
              </w:rPr>
              <w:t xml:space="preserve"> serbischen Bevölkerungsanteilen vom kroatischen Staatsgebiet abzuspalten. Der Osten des Landes mit den Städten Osijek und Vukovar an der Grenze zu Serbien war während des Krieges am stärksten umkämpft. Nach einer monatelangen Belagerung wurde </w:t>
            </w:r>
            <w:proofErr w:type="spellStart"/>
            <w:r w:rsidR="00F328B9" w:rsidRPr="00F328B9">
              <w:rPr>
                <w:rFonts w:ascii="Arial" w:hAnsi="Arial"/>
                <w:sz w:val="18"/>
                <w:szCs w:val="18"/>
                <w:lang w:val="de-DE"/>
              </w:rPr>
              <w:t>schliesslich</w:t>
            </w:r>
            <w:proofErr w:type="spellEnd"/>
            <w:r w:rsidR="00F328B9" w:rsidRPr="00F328B9">
              <w:rPr>
                <w:rFonts w:ascii="Arial" w:hAnsi="Arial"/>
                <w:sz w:val="18"/>
                <w:szCs w:val="18"/>
                <w:lang w:val="de-DE"/>
              </w:rPr>
              <w:t xml:space="preserve"> Vukovar in einer verlustreichen Schlacht weitgehend zerstört. Die kroatischen Serben erklärten daraufhin die besetzten Gebiete Ostslawoniens zusammen mit der Krajina für unabhängig und bestimmten Vukovar zu ihrem Zentrum.»</w:t>
            </w:r>
          </w:p>
          <w:p w14:paraId="55F3F792" w14:textId="77777777" w:rsidR="00F328B9" w:rsidRPr="00F328B9" w:rsidRDefault="00F328B9" w:rsidP="00F328B9">
            <w:pPr>
              <w:spacing w:after="120"/>
              <w:rPr>
                <w:rFonts w:ascii="Arial" w:hAnsi="Arial"/>
                <w:sz w:val="18"/>
                <w:szCs w:val="18"/>
                <w:lang w:val="de-DE"/>
              </w:rPr>
            </w:pPr>
            <w:r w:rsidRPr="00F328B9">
              <w:rPr>
                <w:rFonts w:ascii="Arial" w:hAnsi="Arial" w:cs="Helvetica"/>
                <w:sz w:val="18"/>
                <w:szCs w:val="18"/>
                <w:lang w:val="de-DE" w:eastAsia="de-CH"/>
              </w:rPr>
              <w:t>Trotz Zerstörung und Eroberung der Stadt gilt die Schlacht um Vukovar als Kehrtwende im Kroatienkrieg, da weitere serbische Expansionspläne in Kroatien zum Erliegen kamen und sie zur internationalen Isolation und Sanktionierung führte.</w:t>
            </w:r>
            <w:r w:rsidRPr="00F328B9">
              <w:rPr>
                <w:rFonts w:ascii="Arial" w:hAnsi="Arial"/>
                <w:sz w:val="18"/>
                <w:szCs w:val="18"/>
                <w:lang w:val="de-DE"/>
              </w:rPr>
              <w:t xml:space="preserve"> Die kroatische Armee konnte später </w:t>
            </w:r>
            <w:proofErr w:type="spellStart"/>
            <w:r w:rsidRPr="00F328B9">
              <w:rPr>
                <w:rFonts w:ascii="Arial" w:hAnsi="Arial"/>
                <w:sz w:val="18"/>
                <w:szCs w:val="18"/>
                <w:lang w:val="de-DE"/>
              </w:rPr>
              <w:t>grosse</w:t>
            </w:r>
            <w:proofErr w:type="spellEnd"/>
            <w:r w:rsidRPr="00F328B9">
              <w:rPr>
                <w:rFonts w:ascii="Arial" w:hAnsi="Arial"/>
                <w:sz w:val="18"/>
                <w:szCs w:val="18"/>
                <w:lang w:val="de-DE"/>
              </w:rPr>
              <w:t xml:space="preserve"> Gebiete zurückerobern. Vukovar kam zunächst unter UN-Verwaltung und wurde dann Kroatien zugesprochen.</w:t>
            </w:r>
          </w:p>
          <w:p w14:paraId="448415F4" w14:textId="1C3091CA" w:rsidR="00EC5E7F" w:rsidRPr="00F328B9" w:rsidRDefault="00F328B9" w:rsidP="00F328B9">
            <w:pPr>
              <w:spacing w:after="120" w:line="360" w:lineRule="auto"/>
              <w:rPr>
                <w:rFonts w:ascii="Arial" w:hAnsi="Arial"/>
                <w:sz w:val="18"/>
                <w:szCs w:val="18"/>
                <w:lang w:val="de-DE"/>
              </w:rPr>
            </w:pPr>
            <w:r w:rsidRPr="00F328B9">
              <w:rPr>
                <w:rFonts w:ascii="Arial" w:hAnsi="Arial"/>
                <w:sz w:val="18"/>
                <w:szCs w:val="18"/>
                <w:lang w:val="de-DE"/>
              </w:rPr>
              <w:lastRenderedPageBreak/>
              <w:t>Die Schlacht um Vukovar hat bis h</w:t>
            </w:r>
            <w:r w:rsidR="00F70AEE">
              <w:rPr>
                <w:rFonts w:ascii="Arial" w:hAnsi="Arial"/>
                <w:sz w:val="18"/>
                <w:szCs w:val="18"/>
                <w:lang w:val="de-DE"/>
              </w:rPr>
              <w:t xml:space="preserve">eute vor allem in Kroatien </w:t>
            </w:r>
            <w:proofErr w:type="spellStart"/>
            <w:r w:rsidR="00F70AEE">
              <w:rPr>
                <w:rFonts w:ascii="Arial" w:hAnsi="Arial"/>
                <w:sz w:val="18"/>
                <w:szCs w:val="18"/>
                <w:lang w:val="de-DE"/>
              </w:rPr>
              <w:t>gross</w:t>
            </w:r>
            <w:r w:rsidRPr="00F328B9">
              <w:rPr>
                <w:rFonts w:ascii="Arial" w:hAnsi="Arial"/>
                <w:sz w:val="18"/>
                <w:szCs w:val="18"/>
                <w:lang w:val="de-DE"/>
              </w:rPr>
              <w:t>e</w:t>
            </w:r>
            <w:proofErr w:type="spellEnd"/>
            <w:r w:rsidRPr="00F328B9">
              <w:rPr>
                <w:rFonts w:ascii="Arial" w:hAnsi="Arial"/>
                <w:sz w:val="18"/>
                <w:szCs w:val="18"/>
                <w:lang w:val="de-DE"/>
              </w:rPr>
              <w:t xml:space="preserve"> Symbolkraft. Nach der Einnahme durch die serbisch dominierte JNA kam es zu Massakern an Verteidigern und Zivilisten. Die verantwortlichen serbischen Offiziere wurden später vom Internationalen Strafgerichtshof für das ehemalige Jugoslawien </w:t>
            </w:r>
            <w:proofErr w:type="spellStart"/>
            <w:r w:rsidRPr="00F328B9">
              <w:rPr>
                <w:rFonts w:ascii="Arial" w:hAnsi="Arial"/>
                <w:sz w:val="18"/>
                <w:szCs w:val="18"/>
                <w:lang w:val="de-DE"/>
              </w:rPr>
              <w:t>verurteiltt</w:t>
            </w:r>
            <w:proofErr w:type="spellEnd"/>
            <w:r w:rsidRPr="00F328B9">
              <w:rPr>
                <w:rFonts w:ascii="Arial" w:hAnsi="Arial"/>
                <w:sz w:val="18"/>
                <w:szCs w:val="18"/>
                <w:lang w:val="de-DE"/>
              </w:rPr>
              <w:t xml:space="preserve">. Zwanzig Jahre nach dem Fall </w:t>
            </w:r>
            <w:proofErr w:type="spellStart"/>
            <w:r w:rsidRPr="00F328B9">
              <w:rPr>
                <w:rFonts w:ascii="Arial" w:hAnsi="Arial"/>
                <w:sz w:val="18"/>
                <w:szCs w:val="18"/>
                <w:lang w:val="de-DE"/>
              </w:rPr>
              <w:t>Vukovars</w:t>
            </w:r>
            <w:proofErr w:type="spellEnd"/>
            <w:r w:rsidRPr="00F328B9">
              <w:rPr>
                <w:rFonts w:ascii="Arial" w:hAnsi="Arial"/>
                <w:sz w:val="18"/>
                <w:szCs w:val="18"/>
                <w:lang w:val="de-DE"/>
              </w:rPr>
              <w:t xml:space="preserve"> brachte die kroatische Post eine düstere Gedenkmarke heraus. Sie zeigt ein damaliges ausgezeichnetes Pressebild mit zerstörten barocken Bauten.</w:t>
            </w:r>
            <w:r>
              <w:rPr>
                <w:rFonts w:ascii="Arial" w:hAnsi="Arial"/>
                <w:sz w:val="18"/>
                <w:szCs w:val="18"/>
                <w:lang w:val="de-DE"/>
              </w:rPr>
              <w:br/>
            </w:r>
            <w:r>
              <w:rPr>
                <w:rFonts w:ascii="Arial" w:hAnsi="Arial"/>
                <w:sz w:val="18"/>
                <w:szCs w:val="18"/>
                <w:lang w:val="de-DE"/>
              </w:rPr>
              <w:br/>
            </w:r>
            <w:r w:rsidRPr="00F328B9">
              <w:rPr>
                <w:rFonts w:ascii="Arial" w:hAnsi="Arial"/>
                <w:sz w:val="18"/>
                <w:szCs w:val="18"/>
                <w:lang w:val="de-DE"/>
              </w:rPr>
              <w:t>NZZ</w:t>
            </w:r>
            <w:r>
              <w:rPr>
                <w:rFonts w:ascii="Arial" w:hAnsi="Arial"/>
                <w:sz w:val="18"/>
                <w:szCs w:val="18"/>
                <w:lang w:val="de-DE"/>
              </w:rPr>
              <w:t>,</w:t>
            </w:r>
            <w:r w:rsidRPr="00F328B9">
              <w:rPr>
                <w:rFonts w:ascii="Arial" w:hAnsi="Arial"/>
                <w:sz w:val="18"/>
                <w:szCs w:val="18"/>
                <w:lang w:val="de-DE"/>
              </w:rPr>
              <w:t xml:space="preserve"> 28.8.2012</w:t>
            </w:r>
          </w:p>
        </w:tc>
      </w:tr>
    </w:tbl>
    <w:p w14:paraId="2C0C309E" w14:textId="77777777" w:rsidR="00466F70" w:rsidRPr="00EC5E7F" w:rsidRDefault="00466F70" w:rsidP="002140C4"/>
    <w:sectPr w:rsidR="00466F70" w:rsidRPr="00EC5E7F" w:rsidSect="00681EDD">
      <w:headerReference w:type="default" r:id="rId9"/>
      <w:footerReference w:type="default" r:id="rId10"/>
      <w:headerReference w:type="first" r:id="rId11"/>
      <w:footerReference w:type="first" r:id="rId12"/>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32C1" w14:textId="77777777" w:rsidR="00F3519C" w:rsidRDefault="00F3519C" w:rsidP="00681EDD">
      <w:r>
        <w:separator/>
      </w:r>
    </w:p>
  </w:endnote>
  <w:endnote w:type="continuationSeparator" w:id="0">
    <w:p w14:paraId="6B7AC999" w14:textId="77777777" w:rsidR="00F3519C" w:rsidRDefault="00F3519C" w:rsidP="006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F3519C" w14:paraId="6DD5F07B" w14:textId="77777777" w:rsidTr="00F20864">
      <w:tc>
        <w:tcPr>
          <w:tcW w:w="2777" w:type="dxa"/>
        </w:tcPr>
        <w:p w14:paraId="379E17A9" w14:textId="77777777" w:rsidR="00F3519C" w:rsidRDefault="00F3519C" w:rsidP="00F20864">
          <w:pPr>
            <w:pStyle w:val="Kopfzeile"/>
            <w:tabs>
              <w:tab w:val="clear" w:pos="4536"/>
              <w:tab w:val="clear" w:pos="9072"/>
            </w:tabs>
            <w:jc w:val="right"/>
            <w:rPr>
              <w:rFonts w:ascii="Arial" w:hAnsi="Arial"/>
              <w:b/>
              <w:bCs/>
              <w:sz w:val="20"/>
            </w:rPr>
          </w:pPr>
        </w:p>
      </w:tc>
      <w:tc>
        <w:tcPr>
          <w:tcW w:w="180" w:type="dxa"/>
        </w:tcPr>
        <w:p w14:paraId="46FE82EA" w14:textId="77777777" w:rsidR="00F3519C" w:rsidRDefault="00F3519C" w:rsidP="00F20864">
          <w:pPr>
            <w:pStyle w:val="Kopfzeile"/>
            <w:tabs>
              <w:tab w:val="clear" w:pos="4536"/>
              <w:tab w:val="clear" w:pos="9072"/>
            </w:tabs>
            <w:rPr>
              <w:rFonts w:ascii="Arial" w:hAnsi="Arial"/>
              <w:sz w:val="20"/>
            </w:rPr>
          </w:pPr>
        </w:p>
      </w:tc>
      <w:tc>
        <w:tcPr>
          <w:tcW w:w="1933" w:type="dxa"/>
          <w:shd w:val="clear" w:color="auto" w:fill="C7C0B9"/>
          <w:vAlign w:val="center"/>
        </w:tcPr>
        <w:p w14:paraId="2CF120A7" w14:textId="77777777" w:rsidR="00F3519C" w:rsidRPr="00570DC5" w:rsidRDefault="00F3519C" w:rsidP="00F20864">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397E71BF" w14:textId="77777777" w:rsidR="00F3519C" w:rsidRPr="00570DC5" w:rsidRDefault="00F3519C"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42DE8660" w14:textId="77777777" w:rsidR="00F3519C" w:rsidRPr="00570DC5" w:rsidRDefault="00F3519C" w:rsidP="00F20864">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sidR="00787F31">
            <w:rPr>
              <w:rFonts w:ascii="Arial" w:hAnsi="Arial"/>
              <w:b/>
              <w:noProof/>
              <w:sz w:val="16"/>
              <w:szCs w:val="16"/>
            </w:rPr>
            <w:t>4</w:t>
          </w:r>
          <w:r w:rsidRPr="00570DC5">
            <w:rPr>
              <w:rFonts w:ascii="Arial" w:hAnsi="Arial"/>
              <w:b/>
              <w:sz w:val="16"/>
              <w:szCs w:val="16"/>
            </w:rPr>
            <w:fldChar w:fldCharType="end"/>
          </w:r>
          <w:r w:rsidRPr="00570DC5">
            <w:rPr>
              <w:rFonts w:ascii="Arial" w:hAnsi="Arial"/>
              <w:b/>
              <w:sz w:val="16"/>
              <w:szCs w:val="16"/>
            </w:rPr>
            <w:t>/</w:t>
          </w:r>
          <w:r w:rsidR="00787F31">
            <w:fldChar w:fldCharType="begin"/>
          </w:r>
          <w:r w:rsidR="00787F31">
            <w:instrText xml:space="preserve"> NUMPAGES   \* MERGEFORMAT </w:instrText>
          </w:r>
          <w:r w:rsidR="00787F31">
            <w:fldChar w:fldCharType="separate"/>
          </w:r>
          <w:r w:rsidR="00787F31" w:rsidRPr="00787F31">
            <w:rPr>
              <w:rFonts w:ascii="Arial" w:hAnsi="Arial"/>
              <w:b/>
              <w:noProof/>
              <w:sz w:val="16"/>
              <w:szCs w:val="16"/>
            </w:rPr>
            <w:t>4</w:t>
          </w:r>
          <w:r w:rsidR="00787F31">
            <w:rPr>
              <w:rFonts w:ascii="Arial" w:hAnsi="Arial"/>
              <w:b/>
              <w:noProof/>
              <w:sz w:val="16"/>
              <w:szCs w:val="16"/>
            </w:rPr>
            <w:fldChar w:fldCharType="end"/>
          </w:r>
        </w:p>
      </w:tc>
    </w:tr>
  </w:tbl>
  <w:p w14:paraId="43779632" w14:textId="77777777" w:rsidR="00F3519C" w:rsidRDefault="00F3519C">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3519C" w:rsidRPr="006E79FD" w14:paraId="2ED6B9BD" w14:textId="77777777" w:rsidTr="00F20864">
      <w:tc>
        <w:tcPr>
          <w:tcW w:w="2777" w:type="dxa"/>
        </w:tcPr>
        <w:p w14:paraId="337E2F74" w14:textId="77777777" w:rsidR="00F3519C" w:rsidRDefault="00F3519C" w:rsidP="00F20864">
          <w:pPr>
            <w:pStyle w:val="Kopfzeile"/>
            <w:tabs>
              <w:tab w:val="clear" w:pos="4536"/>
              <w:tab w:val="clear" w:pos="9072"/>
            </w:tabs>
            <w:jc w:val="right"/>
            <w:rPr>
              <w:rFonts w:ascii="Arial" w:hAnsi="Arial"/>
              <w:b/>
              <w:bCs/>
              <w:sz w:val="20"/>
            </w:rPr>
          </w:pPr>
        </w:p>
      </w:tc>
      <w:tc>
        <w:tcPr>
          <w:tcW w:w="180" w:type="dxa"/>
        </w:tcPr>
        <w:p w14:paraId="0AEF405F" w14:textId="77777777" w:rsidR="00F3519C" w:rsidRDefault="00F3519C" w:rsidP="00F20864">
          <w:pPr>
            <w:pStyle w:val="Kopfzeile"/>
            <w:tabs>
              <w:tab w:val="clear" w:pos="4536"/>
              <w:tab w:val="clear" w:pos="9072"/>
            </w:tabs>
            <w:rPr>
              <w:rFonts w:ascii="Arial" w:hAnsi="Arial"/>
              <w:sz w:val="20"/>
            </w:rPr>
          </w:pPr>
        </w:p>
      </w:tc>
      <w:tc>
        <w:tcPr>
          <w:tcW w:w="2075" w:type="dxa"/>
          <w:shd w:val="clear" w:color="auto" w:fill="C7C0B9"/>
          <w:vAlign w:val="center"/>
        </w:tcPr>
        <w:p w14:paraId="17853E14" w14:textId="77777777" w:rsidR="00F3519C" w:rsidRPr="006E79FD" w:rsidRDefault="00F3519C" w:rsidP="00F20864">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DAB3644" w14:textId="77777777" w:rsidR="00F3519C" w:rsidRPr="006E79FD" w:rsidRDefault="00F3519C"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5C4DC6F6" w14:textId="77777777" w:rsidR="00F3519C" w:rsidRPr="006E79FD" w:rsidRDefault="00F3519C" w:rsidP="00F20864">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787F31">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r w:rsidR="00787F31">
            <w:fldChar w:fldCharType="begin"/>
          </w:r>
          <w:r w:rsidR="00787F31">
            <w:instrText xml:space="preserve"> NUMPAGES   \* MERGEFORMAT </w:instrText>
          </w:r>
          <w:r w:rsidR="00787F31">
            <w:fldChar w:fldCharType="separate"/>
          </w:r>
          <w:r w:rsidR="00787F31" w:rsidRPr="00787F31">
            <w:rPr>
              <w:rFonts w:ascii="Arial" w:hAnsi="Arial"/>
              <w:b/>
              <w:noProof/>
              <w:sz w:val="16"/>
              <w:szCs w:val="16"/>
            </w:rPr>
            <w:t>3</w:t>
          </w:r>
          <w:r w:rsidR="00787F31">
            <w:rPr>
              <w:rFonts w:ascii="Arial" w:hAnsi="Arial"/>
              <w:b/>
              <w:noProof/>
              <w:sz w:val="16"/>
              <w:szCs w:val="16"/>
            </w:rPr>
            <w:fldChar w:fldCharType="end"/>
          </w:r>
        </w:p>
      </w:tc>
    </w:tr>
  </w:tbl>
  <w:p w14:paraId="7EA0507D" w14:textId="77777777" w:rsidR="00F3519C" w:rsidRDefault="00F3519C">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F81E" w14:textId="77777777" w:rsidR="00F3519C" w:rsidRDefault="00F3519C" w:rsidP="00681EDD">
      <w:r>
        <w:separator/>
      </w:r>
    </w:p>
  </w:footnote>
  <w:footnote w:type="continuationSeparator" w:id="0">
    <w:p w14:paraId="4D80400B" w14:textId="77777777" w:rsidR="00F3519C" w:rsidRDefault="00F3519C" w:rsidP="0068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F3519C" w14:paraId="417FBB7C" w14:textId="77777777" w:rsidTr="00466F70">
      <w:trPr>
        <w:cantSplit/>
        <w:trHeight w:val="278"/>
      </w:trPr>
      <w:tc>
        <w:tcPr>
          <w:tcW w:w="4390" w:type="dxa"/>
        </w:tcPr>
        <w:p w14:paraId="4B5B6FFA" w14:textId="77777777" w:rsidR="00F3519C" w:rsidRDefault="00F3519C" w:rsidP="00F20864">
          <w:pPr>
            <w:ind w:left="708" w:hanging="708"/>
            <w:rPr>
              <w:rFonts w:ascii="Arial" w:hAnsi="Arial"/>
              <w:sz w:val="26"/>
            </w:rPr>
          </w:pPr>
          <w:r>
            <w:rPr>
              <w:rFonts w:ascii="Arial" w:hAnsi="Arial"/>
              <w:noProof/>
              <w:lang w:eastAsia="de-CH"/>
            </w:rPr>
            <w:drawing>
              <wp:inline distT="0" distB="0" distL="0" distR="0" wp14:anchorId="0B52E4F2" wp14:editId="0625D955">
                <wp:extent cx="1011676" cy="282982"/>
                <wp:effectExtent l="0" t="0" r="4445" b="0"/>
                <wp:docPr id="3" name="Bild 3"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0DE39B7F" w14:textId="77777777" w:rsidR="00F3519C" w:rsidRDefault="00F3519C" w:rsidP="00F20864">
          <w:pPr>
            <w:ind w:left="708" w:hanging="708"/>
            <w:jc w:val="right"/>
            <w:rPr>
              <w:rFonts w:ascii="Arial" w:hAnsi="Arial"/>
              <w:sz w:val="26"/>
            </w:rPr>
          </w:pPr>
        </w:p>
      </w:tc>
      <w:tc>
        <w:tcPr>
          <w:tcW w:w="3544" w:type="dxa"/>
          <w:vAlign w:val="bottom"/>
        </w:tcPr>
        <w:p w14:paraId="6FD10A29" w14:textId="5F590840" w:rsidR="00F3519C" w:rsidRPr="00F849E4" w:rsidRDefault="00F3519C" w:rsidP="00FF7D02">
          <w:pPr>
            <w:pStyle w:val="berschrift4"/>
            <w:spacing w:after="40"/>
            <w:jc w:val="right"/>
            <w:rPr>
              <w:sz w:val="20"/>
            </w:rPr>
          </w:pPr>
          <w:r>
            <w:rPr>
              <w:sz w:val="20"/>
            </w:rPr>
            <w:t>Arbeitsblatt 5</w:t>
          </w:r>
          <w:r>
            <w:rPr>
              <w:sz w:val="20"/>
            </w:rPr>
            <w:br/>
            <w:t>Frageblatt</w:t>
          </w:r>
        </w:p>
      </w:tc>
    </w:tr>
  </w:tbl>
  <w:p w14:paraId="5C484FCC" w14:textId="77777777" w:rsidR="00F3519C" w:rsidRDefault="00F351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F3519C" w14:paraId="055D4762" w14:textId="77777777" w:rsidTr="00DB2DAF">
      <w:trPr>
        <w:cantSplit/>
        <w:trHeight w:val="278"/>
      </w:trPr>
      <w:tc>
        <w:tcPr>
          <w:tcW w:w="4390" w:type="dxa"/>
        </w:tcPr>
        <w:p w14:paraId="2185C8A9" w14:textId="77777777" w:rsidR="00F3519C" w:rsidRDefault="00F3519C" w:rsidP="00F20864">
          <w:pPr>
            <w:ind w:left="708" w:hanging="708"/>
            <w:rPr>
              <w:rFonts w:ascii="Arial" w:hAnsi="Arial"/>
              <w:sz w:val="26"/>
            </w:rPr>
          </w:pPr>
          <w:r>
            <w:rPr>
              <w:rFonts w:ascii="Arial" w:hAnsi="Arial"/>
              <w:noProof/>
              <w:lang w:eastAsia="de-CH"/>
            </w:rPr>
            <w:drawing>
              <wp:inline distT="0" distB="0" distL="0" distR="0" wp14:anchorId="750F34F1" wp14:editId="636F020D">
                <wp:extent cx="1011676" cy="282982"/>
                <wp:effectExtent l="0" t="0" r="444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46FC068" w14:textId="77777777" w:rsidR="00F3519C" w:rsidRDefault="00F3519C" w:rsidP="00F20864">
          <w:pPr>
            <w:ind w:left="708" w:hanging="708"/>
            <w:jc w:val="right"/>
            <w:rPr>
              <w:rFonts w:ascii="Arial" w:hAnsi="Arial"/>
              <w:sz w:val="26"/>
            </w:rPr>
          </w:pPr>
        </w:p>
      </w:tc>
      <w:tc>
        <w:tcPr>
          <w:tcW w:w="3544" w:type="dxa"/>
          <w:vAlign w:val="bottom"/>
        </w:tcPr>
        <w:p w14:paraId="6E35146B" w14:textId="3FD3B7F4" w:rsidR="00F3519C" w:rsidRPr="00F849E4" w:rsidRDefault="00F3519C" w:rsidP="00FF7D02">
          <w:pPr>
            <w:pStyle w:val="berschrift4"/>
            <w:spacing w:after="40"/>
            <w:jc w:val="right"/>
            <w:rPr>
              <w:sz w:val="20"/>
            </w:rPr>
          </w:pPr>
          <w:r w:rsidRPr="00F849E4">
            <w:rPr>
              <w:sz w:val="20"/>
            </w:rPr>
            <w:t xml:space="preserve">Arbeitsblatt </w:t>
          </w:r>
          <w:r>
            <w:rPr>
              <w:sz w:val="20"/>
            </w:rPr>
            <w:t>5</w:t>
          </w:r>
          <w:r>
            <w:rPr>
              <w:sz w:val="20"/>
            </w:rPr>
            <w:br/>
            <w:t>Frageblatt</w:t>
          </w:r>
          <w:r w:rsidRPr="00F849E4">
            <w:rPr>
              <w:sz w:val="20"/>
            </w:rPr>
            <w:t xml:space="preserve"> </w:t>
          </w:r>
        </w:p>
      </w:tc>
    </w:tr>
  </w:tbl>
  <w:p w14:paraId="66882D7A" w14:textId="77777777" w:rsidR="00F3519C" w:rsidRDefault="00F351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399"/>
    <w:multiLevelType w:val="hybridMultilevel"/>
    <w:tmpl w:val="45FA0AB2"/>
    <w:lvl w:ilvl="0" w:tplc="924023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795682"/>
    <w:multiLevelType w:val="hybridMultilevel"/>
    <w:tmpl w:val="2DE06846"/>
    <w:lvl w:ilvl="0" w:tplc="1A08E5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4A23615"/>
    <w:multiLevelType w:val="hybridMultilevel"/>
    <w:tmpl w:val="07A48F6E"/>
    <w:lvl w:ilvl="0" w:tplc="924023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D"/>
    <w:rsid w:val="00000A7F"/>
    <w:rsid w:val="0001705C"/>
    <w:rsid w:val="00050B8C"/>
    <w:rsid w:val="00066278"/>
    <w:rsid w:val="00095C1F"/>
    <w:rsid w:val="000A5301"/>
    <w:rsid w:val="000F04F9"/>
    <w:rsid w:val="00107DE8"/>
    <w:rsid w:val="001105BA"/>
    <w:rsid w:val="00115141"/>
    <w:rsid w:val="00186C20"/>
    <w:rsid w:val="001B5A51"/>
    <w:rsid w:val="002140C4"/>
    <w:rsid w:val="00227F03"/>
    <w:rsid w:val="0024232F"/>
    <w:rsid w:val="00291FB2"/>
    <w:rsid w:val="002B0CD5"/>
    <w:rsid w:val="00307D0C"/>
    <w:rsid w:val="00335F63"/>
    <w:rsid w:val="0034453A"/>
    <w:rsid w:val="003F58D1"/>
    <w:rsid w:val="00422CEA"/>
    <w:rsid w:val="004365B8"/>
    <w:rsid w:val="00466F70"/>
    <w:rsid w:val="00476678"/>
    <w:rsid w:val="0048060C"/>
    <w:rsid w:val="00485391"/>
    <w:rsid w:val="004F4DE9"/>
    <w:rsid w:val="00511A48"/>
    <w:rsid w:val="005428BA"/>
    <w:rsid w:val="00553462"/>
    <w:rsid w:val="005702EE"/>
    <w:rsid w:val="005B198A"/>
    <w:rsid w:val="005D6B4A"/>
    <w:rsid w:val="00610B39"/>
    <w:rsid w:val="00681EDD"/>
    <w:rsid w:val="006925F6"/>
    <w:rsid w:val="006D6174"/>
    <w:rsid w:val="006F2E43"/>
    <w:rsid w:val="0071333D"/>
    <w:rsid w:val="00726703"/>
    <w:rsid w:val="0076397A"/>
    <w:rsid w:val="00787F31"/>
    <w:rsid w:val="007C5425"/>
    <w:rsid w:val="007D26FC"/>
    <w:rsid w:val="007F7B66"/>
    <w:rsid w:val="00832952"/>
    <w:rsid w:val="00837BAD"/>
    <w:rsid w:val="0086474A"/>
    <w:rsid w:val="008733DD"/>
    <w:rsid w:val="008F19C9"/>
    <w:rsid w:val="0094533E"/>
    <w:rsid w:val="009507CB"/>
    <w:rsid w:val="00966A3B"/>
    <w:rsid w:val="00967C95"/>
    <w:rsid w:val="009C2827"/>
    <w:rsid w:val="009E6694"/>
    <w:rsid w:val="00A06B60"/>
    <w:rsid w:val="00AB18B1"/>
    <w:rsid w:val="00AB2C1C"/>
    <w:rsid w:val="00AC661E"/>
    <w:rsid w:val="00AD5A8D"/>
    <w:rsid w:val="00AF1919"/>
    <w:rsid w:val="00B43AB2"/>
    <w:rsid w:val="00B504C3"/>
    <w:rsid w:val="00B53C87"/>
    <w:rsid w:val="00B751C1"/>
    <w:rsid w:val="00B96409"/>
    <w:rsid w:val="00B97985"/>
    <w:rsid w:val="00BD1D46"/>
    <w:rsid w:val="00BF1933"/>
    <w:rsid w:val="00BF3619"/>
    <w:rsid w:val="00C209FA"/>
    <w:rsid w:val="00C41A48"/>
    <w:rsid w:val="00C676B3"/>
    <w:rsid w:val="00C83DC6"/>
    <w:rsid w:val="00C94422"/>
    <w:rsid w:val="00C96586"/>
    <w:rsid w:val="00CB6317"/>
    <w:rsid w:val="00CD7DC5"/>
    <w:rsid w:val="00D00BF5"/>
    <w:rsid w:val="00D272C8"/>
    <w:rsid w:val="00D51373"/>
    <w:rsid w:val="00D70396"/>
    <w:rsid w:val="00DB2DAF"/>
    <w:rsid w:val="00DD3668"/>
    <w:rsid w:val="00DF24F4"/>
    <w:rsid w:val="00E23BCB"/>
    <w:rsid w:val="00E3467E"/>
    <w:rsid w:val="00E72E1D"/>
    <w:rsid w:val="00EC5E7F"/>
    <w:rsid w:val="00F20864"/>
    <w:rsid w:val="00F328B9"/>
    <w:rsid w:val="00F3519C"/>
    <w:rsid w:val="00F5496F"/>
    <w:rsid w:val="00F60A5E"/>
    <w:rsid w:val="00F7028A"/>
    <w:rsid w:val="00F70AEE"/>
    <w:rsid w:val="00FD4925"/>
    <w:rsid w:val="00FD6F0A"/>
    <w:rsid w:val="00FF7D0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296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095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09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323">
      <w:bodyDiv w:val="1"/>
      <w:marLeft w:val="0"/>
      <w:marRight w:val="0"/>
      <w:marTop w:val="0"/>
      <w:marBottom w:val="0"/>
      <w:divBdr>
        <w:top w:val="none" w:sz="0" w:space="0" w:color="auto"/>
        <w:left w:val="none" w:sz="0" w:space="0" w:color="auto"/>
        <w:bottom w:val="none" w:sz="0" w:space="0" w:color="auto"/>
        <w:right w:val="none" w:sz="0" w:space="0" w:color="auto"/>
      </w:divBdr>
      <w:divsChild>
        <w:div w:id="2039043055">
          <w:marLeft w:val="547"/>
          <w:marRight w:val="0"/>
          <w:marTop w:val="0"/>
          <w:marBottom w:val="0"/>
          <w:divBdr>
            <w:top w:val="none" w:sz="0" w:space="0" w:color="auto"/>
            <w:left w:val="none" w:sz="0" w:space="0" w:color="auto"/>
            <w:bottom w:val="none" w:sz="0" w:space="0" w:color="auto"/>
            <w:right w:val="none" w:sz="0" w:space="0" w:color="auto"/>
          </w:divBdr>
        </w:div>
        <w:div w:id="578518427">
          <w:marLeft w:val="1166"/>
          <w:marRight w:val="0"/>
          <w:marTop w:val="0"/>
          <w:marBottom w:val="0"/>
          <w:divBdr>
            <w:top w:val="none" w:sz="0" w:space="0" w:color="auto"/>
            <w:left w:val="none" w:sz="0" w:space="0" w:color="auto"/>
            <w:bottom w:val="none" w:sz="0" w:space="0" w:color="auto"/>
            <w:right w:val="none" w:sz="0" w:space="0" w:color="auto"/>
          </w:divBdr>
        </w:div>
        <w:div w:id="1757358787">
          <w:marLeft w:val="1166"/>
          <w:marRight w:val="0"/>
          <w:marTop w:val="0"/>
          <w:marBottom w:val="0"/>
          <w:divBdr>
            <w:top w:val="none" w:sz="0" w:space="0" w:color="auto"/>
            <w:left w:val="none" w:sz="0" w:space="0" w:color="auto"/>
            <w:bottom w:val="none" w:sz="0" w:space="0" w:color="auto"/>
            <w:right w:val="none" w:sz="0" w:space="0" w:color="auto"/>
          </w:divBdr>
        </w:div>
      </w:divsChild>
    </w:div>
    <w:div w:id="125824693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82">
          <w:marLeft w:val="547"/>
          <w:marRight w:val="0"/>
          <w:marTop w:val="0"/>
          <w:marBottom w:val="0"/>
          <w:divBdr>
            <w:top w:val="none" w:sz="0" w:space="0" w:color="auto"/>
            <w:left w:val="none" w:sz="0" w:space="0" w:color="auto"/>
            <w:bottom w:val="none" w:sz="0" w:space="0" w:color="auto"/>
            <w:right w:val="none" w:sz="0" w:space="0" w:color="auto"/>
          </w:divBdr>
        </w:div>
        <w:div w:id="1956669189">
          <w:marLeft w:val="1166"/>
          <w:marRight w:val="0"/>
          <w:marTop w:val="0"/>
          <w:marBottom w:val="0"/>
          <w:divBdr>
            <w:top w:val="none" w:sz="0" w:space="0" w:color="auto"/>
            <w:left w:val="none" w:sz="0" w:space="0" w:color="auto"/>
            <w:bottom w:val="none" w:sz="0" w:space="0" w:color="auto"/>
            <w:right w:val="none" w:sz="0" w:space="0" w:color="auto"/>
          </w:divBdr>
        </w:div>
        <w:div w:id="1457874146">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44C9-D923-44EA-B37C-AB208BC5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1174FD04.dotm</Template>
  <TotalTime>0</TotalTime>
  <Pages>4</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Cooking History, Folge 5, Arbeitsblatt Lösungen</vt:lpstr>
    </vt:vector>
  </TitlesOfParts>
  <Company>Zu Hause</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History, Arbeitsblatt 5 Lösungen</dc:title>
  <dc:creator>Andreas Spinas</dc:creator>
  <cp:lastModifiedBy>Schneider, Nadja (SRF)</cp:lastModifiedBy>
  <cp:revision>16</cp:revision>
  <cp:lastPrinted>2012-08-15T08:59:00Z</cp:lastPrinted>
  <dcterms:created xsi:type="dcterms:W3CDTF">2012-09-10T09:37:00Z</dcterms:created>
  <dcterms:modified xsi:type="dcterms:W3CDTF">2013-06-04T13:32:00Z</dcterms:modified>
</cp:coreProperties>
</file>