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7F" w:rsidRPr="00E51D7F" w:rsidRDefault="00985BF3" w:rsidP="00780417">
      <w:pPr>
        <w:rPr>
          <w:rFonts w:ascii="Arial" w:hAnsi="Arial" w:cs="Arial"/>
          <w:b/>
          <w:sz w:val="20"/>
          <w:szCs w:val="20"/>
        </w:rPr>
      </w:pPr>
      <w:bookmarkStart w:id="0" w:name="_GoBack"/>
      <w:bookmarkEnd w:id="0"/>
      <w:r>
        <w:rPr>
          <w:rFonts w:ascii="Arial" w:hAnsi="Arial" w:cs="Arial"/>
          <w:sz w:val="20"/>
          <w:szCs w:val="20"/>
        </w:rPr>
        <w:br/>
      </w:r>
      <w:r w:rsidR="00E51D7F" w:rsidRPr="00E51D7F">
        <w:rPr>
          <w:rFonts w:ascii="Arial" w:hAnsi="Arial" w:cs="Arial"/>
          <w:b/>
          <w:sz w:val="20"/>
          <w:szCs w:val="20"/>
        </w:rPr>
        <w:t>Methoden der Früherkennung</w:t>
      </w:r>
    </w:p>
    <w:tbl>
      <w:tblPr>
        <w:tblStyle w:val="Tabellenraster"/>
        <w:tblW w:w="14707" w:type="dxa"/>
        <w:tblLook w:val="04A0" w:firstRow="1" w:lastRow="0" w:firstColumn="1" w:lastColumn="0" w:noHBand="0" w:noVBand="1"/>
      </w:tblPr>
      <w:tblGrid>
        <w:gridCol w:w="2941"/>
        <w:gridCol w:w="2941"/>
        <w:gridCol w:w="2942"/>
        <w:gridCol w:w="2941"/>
        <w:gridCol w:w="2942"/>
      </w:tblGrid>
      <w:tr w:rsidR="00E040BA" w:rsidTr="00E94B53">
        <w:trPr>
          <w:trHeight w:val="241"/>
        </w:trPr>
        <w:tc>
          <w:tcPr>
            <w:tcW w:w="2941" w:type="dxa"/>
            <w:tcBorders>
              <w:top w:val="nil"/>
              <w:left w:val="nil"/>
              <w:bottom w:val="single" w:sz="4" w:space="0" w:color="auto"/>
              <w:right w:val="nil"/>
            </w:tcBorders>
          </w:tcPr>
          <w:p w:rsidR="00E94B53" w:rsidRDefault="00E94B53" w:rsidP="00780417">
            <w:pPr>
              <w:rPr>
                <w:rFonts w:ascii="Arial" w:hAnsi="Arial" w:cs="Arial"/>
                <w:sz w:val="20"/>
                <w:szCs w:val="20"/>
              </w:rPr>
            </w:pPr>
          </w:p>
        </w:tc>
        <w:tc>
          <w:tcPr>
            <w:tcW w:w="2941" w:type="dxa"/>
            <w:tcBorders>
              <w:top w:val="nil"/>
              <w:left w:val="nil"/>
              <w:bottom w:val="single" w:sz="4" w:space="0" w:color="auto"/>
              <w:right w:val="nil"/>
            </w:tcBorders>
          </w:tcPr>
          <w:p w:rsidR="00E94B53" w:rsidRDefault="00E94B53" w:rsidP="00780417">
            <w:pPr>
              <w:rPr>
                <w:rFonts w:ascii="Arial" w:hAnsi="Arial" w:cs="Arial"/>
                <w:sz w:val="20"/>
                <w:szCs w:val="20"/>
              </w:rPr>
            </w:pPr>
          </w:p>
        </w:tc>
        <w:tc>
          <w:tcPr>
            <w:tcW w:w="2942" w:type="dxa"/>
            <w:tcBorders>
              <w:top w:val="nil"/>
              <w:left w:val="nil"/>
              <w:bottom w:val="single" w:sz="4" w:space="0" w:color="auto"/>
              <w:right w:val="nil"/>
            </w:tcBorders>
          </w:tcPr>
          <w:p w:rsidR="00E94B53" w:rsidRDefault="00E94B53" w:rsidP="00780417">
            <w:pPr>
              <w:rPr>
                <w:rFonts w:ascii="Arial" w:hAnsi="Arial" w:cs="Arial"/>
                <w:sz w:val="20"/>
                <w:szCs w:val="20"/>
              </w:rPr>
            </w:pPr>
          </w:p>
        </w:tc>
        <w:tc>
          <w:tcPr>
            <w:tcW w:w="2941" w:type="dxa"/>
            <w:tcBorders>
              <w:top w:val="nil"/>
              <w:left w:val="nil"/>
              <w:bottom w:val="single" w:sz="4" w:space="0" w:color="auto"/>
              <w:right w:val="nil"/>
            </w:tcBorders>
          </w:tcPr>
          <w:p w:rsidR="00E94B53" w:rsidRDefault="00E94B53" w:rsidP="00780417">
            <w:pPr>
              <w:rPr>
                <w:rFonts w:ascii="Arial" w:hAnsi="Arial" w:cs="Arial"/>
                <w:sz w:val="20"/>
                <w:szCs w:val="20"/>
              </w:rPr>
            </w:pPr>
          </w:p>
        </w:tc>
        <w:tc>
          <w:tcPr>
            <w:tcW w:w="2942" w:type="dxa"/>
            <w:tcBorders>
              <w:top w:val="nil"/>
              <w:left w:val="nil"/>
              <w:bottom w:val="single" w:sz="4" w:space="0" w:color="auto"/>
              <w:right w:val="nil"/>
            </w:tcBorders>
          </w:tcPr>
          <w:p w:rsidR="00E94B53" w:rsidRDefault="00E94B53" w:rsidP="00780417">
            <w:pPr>
              <w:rPr>
                <w:rFonts w:ascii="Arial" w:hAnsi="Arial" w:cs="Arial"/>
                <w:sz w:val="20"/>
                <w:szCs w:val="20"/>
              </w:rPr>
            </w:pPr>
          </w:p>
        </w:tc>
      </w:tr>
      <w:tr w:rsidR="00E040BA" w:rsidRPr="00E94B53" w:rsidTr="00E94B53">
        <w:trPr>
          <w:trHeight w:val="285"/>
        </w:trPr>
        <w:tc>
          <w:tcPr>
            <w:tcW w:w="2941" w:type="dxa"/>
            <w:tcBorders>
              <w:top w:val="single" w:sz="4" w:space="0" w:color="auto"/>
            </w:tcBorders>
            <w:vAlign w:val="center"/>
          </w:tcPr>
          <w:p w:rsidR="00E94B53" w:rsidRPr="00E94B53" w:rsidRDefault="00E94B53" w:rsidP="00E94B53">
            <w:pPr>
              <w:jc w:val="center"/>
              <w:rPr>
                <w:rFonts w:ascii="Arial" w:hAnsi="Arial" w:cs="Arial"/>
                <w:b/>
                <w:sz w:val="20"/>
                <w:szCs w:val="20"/>
              </w:rPr>
            </w:pPr>
            <w:r w:rsidRPr="00E94B53">
              <w:rPr>
                <w:rFonts w:ascii="Arial" w:hAnsi="Arial" w:cs="Arial"/>
                <w:b/>
                <w:sz w:val="20"/>
                <w:szCs w:val="20"/>
              </w:rPr>
              <w:t>1</w:t>
            </w:r>
            <w:r w:rsidR="005E0856">
              <w:rPr>
                <w:rFonts w:ascii="Arial" w:hAnsi="Arial" w:cs="Arial"/>
                <w:b/>
                <w:sz w:val="20"/>
                <w:szCs w:val="20"/>
              </w:rPr>
              <w:t xml:space="preserve">. </w:t>
            </w:r>
            <w:r w:rsidRPr="00E94B53">
              <w:rPr>
                <w:rFonts w:ascii="Arial" w:hAnsi="Arial" w:cs="Arial"/>
                <w:b/>
                <w:sz w:val="20"/>
                <w:szCs w:val="20"/>
              </w:rPr>
              <w:t>Bimsstein</w:t>
            </w:r>
          </w:p>
        </w:tc>
        <w:tc>
          <w:tcPr>
            <w:tcW w:w="2941" w:type="dxa"/>
            <w:tcBorders>
              <w:top w:val="single" w:sz="4" w:space="0" w:color="auto"/>
            </w:tcBorders>
            <w:vAlign w:val="center"/>
          </w:tcPr>
          <w:p w:rsidR="00E94B53" w:rsidRPr="00E94B53" w:rsidRDefault="00E94B53" w:rsidP="00E94B53">
            <w:pPr>
              <w:jc w:val="center"/>
              <w:rPr>
                <w:rFonts w:ascii="Arial" w:hAnsi="Arial" w:cs="Arial"/>
                <w:b/>
                <w:sz w:val="20"/>
                <w:szCs w:val="20"/>
              </w:rPr>
            </w:pPr>
            <w:r w:rsidRPr="00E94B53">
              <w:rPr>
                <w:rFonts w:ascii="Arial" w:hAnsi="Arial" w:cs="Arial"/>
                <w:b/>
                <w:sz w:val="20"/>
                <w:szCs w:val="20"/>
              </w:rPr>
              <w:t>2. Erdbeben</w:t>
            </w:r>
          </w:p>
        </w:tc>
        <w:tc>
          <w:tcPr>
            <w:tcW w:w="2942" w:type="dxa"/>
            <w:tcBorders>
              <w:top w:val="single" w:sz="4" w:space="0" w:color="auto"/>
            </w:tcBorders>
            <w:vAlign w:val="center"/>
          </w:tcPr>
          <w:p w:rsidR="00E94B53" w:rsidRPr="00E94B53" w:rsidRDefault="00E94B53" w:rsidP="00E94B53">
            <w:pPr>
              <w:jc w:val="center"/>
              <w:rPr>
                <w:rFonts w:ascii="Arial" w:hAnsi="Arial" w:cs="Arial"/>
                <w:b/>
                <w:sz w:val="20"/>
                <w:szCs w:val="20"/>
              </w:rPr>
            </w:pPr>
            <w:r w:rsidRPr="00E94B53">
              <w:rPr>
                <w:rFonts w:ascii="Arial" w:hAnsi="Arial" w:cs="Arial"/>
                <w:b/>
                <w:sz w:val="20"/>
                <w:szCs w:val="20"/>
              </w:rPr>
              <w:t>3. Gas</w:t>
            </w:r>
          </w:p>
        </w:tc>
        <w:tc>
          <w:tcPr>
            <w:tcW w:w="2941" w:type="dxa"/>
            <w:tcBorders>
              <w:top w:val="single" w:sz="4" w:space="0" w:color="auto"/>
            </w:tcBorders>
            <w:vAlign w:val="center"/>
          </w:tcPr>
          <w:p w:rsidR="00E94B53" w:rsidRPr="00E94B53" w:rsidRDefault="00E94B53" w:rsidP="00E94B53">
            <w:pPr>
              <w:jc w:val="center"/>
              <w:rPr>
                <w:rFonts w:ascii="Arial" w:hAnsi="Arial" w:cs="Arial"/>
                <w:b/>
                <w:sz w:val="20"/>
                <w:szCs w:val="20"/>
              </w:rPr>
            </w:pPr>
            <w:r w:rsidRPr="00E94B53">
              <w:rPr>
                <w:rFonts w:ascii="Arial" w:hAnsi="Arial" w:cs="Arial"/>
                <w:b/>
                <w:sz w:val="20"/>
                <w:szCs w:val="20"/>
              </w:rPr>
              <w:t>4. Verformung</w:t>
            </w:r>
          </w:p>
        </w:tc>
        <w:tc>
          <w:tcPr>
            <w:tcW w:w="2942" w:type="dxa"/>
            <w:tcBorders>
              <w:top w:val="single" w:sz="4" w:space="0" w:color="auto"/>
            </w:tcBorders>
            <w:vAlign w:val="center"/>
          </w:tcPr>
          <w:p w:rsidR="00E94B53" w:rsidRPr="00E94B53" w:rsidRDefault="00E94B53" w:rsidP="00E94B53">
            <w:pPr>
              <w:jc w:val="center"/>
              <w:rPr>
                <w:rFonts w:ascii="Arial" w:hAnsi="Arial" w:cs="Arial"/>
                <w:b/>
                <w:sz w:val="20"/>
                <w:szCs w:val="20"/>
              </w:rPr>
            </w:pPr>
            <w:r w:rsidRPr="00E94B53">
              <w:rPr>
                <w:rFonts w:ascii="Arial" w:hAnsi="Arial" w:cs="Arial"/>
                <w:b/>
                <w:sz w:val="20"/>
                <w:szCs w:val="20"/>
              </w:rPr>
              <w:t>Seismische Wellen</w:t>
            </w:r>
          </w:p>
        </w:tc>
      </w:tr>
      <w:tr w:rsidR="00E040BA" w:rsidTr="004802BA">
        <w:trPr>
          <w:trHeight w:val="5659"/>
        </w:trPr>
        <w:tc>
          <w:tcPr>
            <w:tcW w:w="2941" w:type="dxa"/>
            <w:tcBorders>
              <w:bottom w:val="single" w:sz="4" w:space="0" w:color="auto"/>
            </w:tcBorders>
          </w:tcPr>
          <w:p w:rsidR="00E94B53" w:rsidRPr="00985BF3" w:rsidRDefault="00985BF3" w:rsidP="006617CC">
            <w:pPr>
              <w:rPr>
                <w:rFonts w:ascii="Arial" w:hAnsi="Arial" w:cs="Arial"/>
                <w:sz w:val="18"/>
                <w:szCs w:val="18"/>
              </w:rPr>
            </w:pPr>
            <w:r w:rsidRPr="00985BF3">
              <w:rPr>
                <w:rFonts w:ascii="Arial" w:hAnsi="Arial"/>
                <w:sz w:val="18"/>
                <w:szCs w:val="18"/>
              </w:rPr>
              <w:br/>
            </w:r>
            <w:r w:rsidR="000E1517" w:rsidRPr="00985BF3">
              <w:rPr>
                <w:rFonts w:ascii="Arial" w:hAnsi="Arial"/>
                <w:sz w:val="18"/>
                <w:szCs w:val="18"/>
              </w:rPr>
              <w:t>Vor einem Ausbruch fliesst Magma an die Erdoberfläche. Dabei werden Kristalle gebildet, welche sic</w:t>
            </w:r>
            <w:r w:rsidR="006617CC" w:rsidRPr="00985BF3">
              <w:rPr>
                <w:rFonts w:ascii="Arial" w:hAnsi="Arial"/>
                <w:sz w:val="18"/>
                <w:szCs w:val="18"/>
              </w:rPr>
              <w:t xml:space="preserve">h in Bimssteinen finden lassen. </w:t>
            </w:r>
            <w:r w:rsidR="000E1517" w:rsidRPr="00985BF3">
              <w:rPr>
                <w:rFonts w:ascii="Arial" w:hAnsi="Arial"/>
                <w:sz w:val="18"/>
                <w:szCs w:val="18"/>
              </w:rPr>
              <w:t xml:space="preserve">Der Wissenschaftler Jonathan Castro sammelt diese Bimssteine und isoliert die Kristalle im Labor. Es ist ihm gelungen den Entstehungsprozess dieser Kristalle umzukehren, was ihm Informationen über die Fliessgeschwindigkeit des Magmas liefert. Mit diesen Erkenntnissen lässt sich feststellen wie nahe der Vulkan vor einer Eruption steht. </w:t>
            </w:r>
          </w:p>
        </w:tc>
        <w:tc>
          <w:tcPr>
            <w:tcW w:w="2941" w:type="dxa"/>
            <w:tcBorders>
              <w:bottom w:val="single" w:sz="4" w:space="0" w:color="auto"/>
            </w:tcBorders>
          </w:tcPr>
          <w:p w:rsidR="00E040BA" w:rsidRPr="00985BF3" w:rsidRDefault="00985BF3" w:rsidP="00E040BA">
            <w:pPr>
              <w:pStyle w:val="StandardWeb"/>
              <w:rPr>
                <w:rFonts w:ascii="Arial" w:hAnsi="Arial" w:cs="Arial"/>
                <w:sz w:val="18"/>
                <w:szCs w:val="18"/>
              </w:rPr>
            </w:pPr>
            <w:r>
              <w:rPr>
                <w:rFonts w:ascii="Arial" w:hAnsi="Arial" w:cs="Arial"/>
                <w:sz w:val="18"/>
                <w:szCs w:val="18"/>
              </w:rPr>
              <w:br/>
            </w:r>
            <w:r w:rsidR="00E040BA" w:rsidRPr="00985BF3">
              <w:rPr>
                <w:rFonts w:ascii="Arial" w:hAnsi="Arial" w:cs="Arial"/>
                <w:sz w:val="18"/>
                <w:szCs w:val="18"/>
              </w:rPr>
              <w:t xml:space="preserve">Ein Eruptionsprozess wird zunächst vom Aufstieg des Magmas eingeleitet. Wenn das </w:t>
            </w:r>
            <w:hyperlink r:id="rId9" w:tooltip="Magma" w:history="1">
              <w:r w:rsidR="00E040BA" w:rsidRPr="00985BF3">
                <w:rPr>
                  <w:rStyle w:val="Hyperlink"/>
                  <w:rFonts w:ascii="Arial" w:hAnsi="Arial" w:cs="Arial"/>
                  <w:color w:val="auto"/>
                  <w:sz w:val="18"/>
                  <w:szCs w:val="18"/>
                  <w:u w:val="none"/>
                </w:rPr>
                <w:t>Magma</w:t>
              </w:r>
            </w:hyperlink>
            <w:r w:rsidR="00E040BA" w:rsidRPr="00985BF3">
              <w:rPr>
                <w:rFonts w:ascii="Arial" w:hAnsi="Arial" w:cs="Arial"/>
                <w:sz w:val="18"/>
                <w:szCs w:val="18"/>
              </w:rPr>
              <w:t xml:space="preserve"> auf vorgezeichneten oder neuen Bruchlinien, Spalten oder Rissen zur Erdoberfläche emporsteigt, entstehen durch Spannungen im Umgebungs</w:t>
            </w:r>
            <w:r w:rsidR="00D83153">
              <w:rPr>
                <w:rFonts w:ascii="Arial" w:hAnsi="Arial" w:cs="Arial"/>
                <w:sz w:val="18"/>
                <w:szCs w:val="18"/>
              </w:rPr>
              <w:t>-</w:t>
            </w:r>
            <w:r w:rsidR="00E040BA" w:rsidRPr="00985BF3">
              <w:rPr>
                <w:rFonts w:ascii="Arial" w:hAnsi="Arial" w:cs="Arial"/>
                <w:sz w:val="18"/>
                <w:szCs w:val="18"/>
              </w:rPr>
              <w:t>gestein und durch Entgasungs</w:t>
            </w:r>
            <w:r w:rsidR="00D83153">
              <w:rPr>
                <w:rFonts w:ascii="Arial" w:hAnsi="Arial" w:cs="Arial"/>
                <w:sz w:val="18"/>
                <w:szCs w:val="18"/>
              </w:rPr>
              <w:t>-</w:t>
            </w:r>
            <w:r w:rsidR="00E040BA" w:rsidRPr="00985BF3">
              <w:rPr>
                <w:rFonts w:ascii="Arial" w:hAnsi="Arial" w:cs="Arial"/>
                <w:sz w:val="18"/>
                <w:szCs w:val="18"/>
              </w:rPr>
              <w:t xml:space="preserve">prozesse des Magmas charakteristische seismische Signale. Gestein zerbricht dabei und Risse beginnen zu vibrieren. Die Zerstörung von Gestein löst </w:t>
            </w:r>
            <w:hyperlink r:id="rId10" w:tooltip="Erdbeben" w:history="1">
              <w:r w:rsidR="00E040BA" w:rsidRPr="00985BF3">
                <w:rPr>
                  <w:rStyle w:val="Hyperlink"/>
                  <w:rFonts w:ascii="Arial" w:hAnsi="Arial" w:cs="Arial"/>
                  <w:color w:val="auto"/>
                  <w:sz w:val="18"/>
                  <w:szCs w:val="18"/>
                  <w:u w:val="none"/>
                </w:rPr>
                <w:t>Erdbeben</w:t>
              </w:r>
            </w:hyperlink>
            <w:r w:rsidR="00E040BA" w:rsidRPr="00985BF3">
              <w:rPr>
                <w:rFonts w:ascii="Arial" w:hAnsi="Arial" w:cs="Arial"/>
                <w:sz w:val="18"/>
                <w:szCs w:val="18"/>
              </w:rPr>
              <w:t xml:space="preserve"> mit hoher </w:t>
            </w:r>
            <w:hyperlink r:id="rId11" w:tooltip="Frequenz" w:history="1">
              <w:r w:rsidR="00E040BA" w:rsidRPr="00985BF3">
                <w:rPr>
                  <w:rStyle w:val="Hyperlink"/>
                  <w:rFonts w:ascii="Arial" w:hAnsi="Arial" w:cs="Arial"/>
                  <w:color w:val="auto"/>
                  <w:sz w:val="18"/>
                  <w:szCs w:val="18"/>
                  <w:u w:val="none"/>
                </w:rPr>
                <w:t>Frequenz</w:t>
              </w:r>
            </w:hyperlink>
            <w:r w:rsidR="00E040BA" w:rsidRPr="00985BF3">
              <w:rPr>
                <w:rFonts w:ascii="Arial" w:hAnsi="Arial" w:cs="Arial"/>
                <w:sz w:val="18"/>
                <w:szCs w:val="18"/>
              </w:rPr>
              <w:t xml:space="preserve"> aus, die Bewegung der Risse dagegen führt zu niedrig </w:t>
            </w:r>
            <w:proofErr w:type="spellStart"/>
            <w:r w:rsidR="00E040BA" w:rsidRPr="00985BF3">
              <w:rPr>
                <w:rFonts w:ascii="Arial" w:hAnsi="Arial" w:cs="Arial"/>
                <w:sz w:val="18"/>
                <w:szCs w:val="18"/>
              </w:rPr>
              <w:t>frequenten</w:t>
            </w:r>
            <w:proofErr w:type="spellEnd"/>
            <w:r w:rsidR="00E040BA" w:rsidRPr="00985BF3">
              <w:rPr>
                <w:rFonts w:ascii="Arial" w:hAnsi="Arial" w:cs="Arial"/>
                <w:sz w:val="18"/>
                <w:szCs w:val="18"/>
              </w:rPr>
              <w:t xml:space="preserve"> Beben, dem so genannten </w:t>
            </w:r>
            <w:r w:rsidR="00E040BA" w:rsidRPr="00985BF3">
              <w:rPr>
                <w:rFonts w:ascii="Arial" w:hAnsi="Arial" w:cs="Arial"/>
                <w:b/>
                <w:bCs/>
                <w:sz w:val="18"/>
                <w:szCs w:val="18"/>
              </w:rPr>
              <w:t>vulkanischen Tremor</w:t>
            </w:r>
            <w:r w:rsidR="00E040BA" w:rsidRPr="00985BF3">
              <w:rPr>
                <w:rFonts w:ascii="Arial" w:hAnsi="Arial" w:cs="Arial"/>
                <w:sz w:val="18"/>
                <w:szCs w:val="18"/>
              </w:rPr>
              <w:t>.</w:t>
            </w:r>
            <w:r w:rsidR="00D83153">
              <w:rPr>
                <w:rFonts w:ascii="Arial" w:hAnsi="Arial" w:cs="Arial"/>
                <w:sz w:val="18"/>
                <w:szCs w:val="18"/>
              </w:rPr>
              <w:t xml:space="preserve"> </w:t>
            </w:r>
            <w:r w:rsidR="00E040BA" w:rsidRPr="00985BF3">
              <w:rPr>
                <w:rFonts w:ascii="Arial" w:hAnsi="Arial" w:cs="Arial"/>
                <w:sz w:val="18"/>
                <w:szCs w:val="18"/>
              </w:rPr>
              <w:t xml:space="preserve">Um Tiefe und Herd der vulkanischen Beben zu ermitteln, wird in der Regel ein Netz von äußerst empfindlichen </w:t>
            </w:r>
            <w:proofErr w:type="spellStart"/>
            <w:r w:rsidR="00E040BA" w:rsidRPr="00985BF3">
              <w:rPr>
                <w:rFonts w:ascii="Arial" w:hAnsi="Arial" w:cs="Arial"/>
                <w:sz w:val="18"/>
                <w:szCs w:val="18"/>
              </w:rPr>
              <w:t>Seismo</w:t>
            </w:r>
            <w:proofErr w:type="spellEnd"/>
            <w:r w:rsidR="00D83153">
              <w:rPr>
                <w:rFonts w:ascii="Arial" w:hAnsi="Arial" w:cs="Arial"/>
                <w:sz w:val="18"/>
                <w:szCs w:val="18"/>
              </w:rPr>
              <w:t>-</w:t>
            </w:r>
            <w:r w:rsidR="00E040BA" w:rsidRPr="00985BF3">
              <w:rPr>
                <w:rFonts w:ascii="Arial" w:hAnsi="Arial" w:cs="Arial"/>
                <w:sz w:val="18"/>
                <w:szCs w:val="18"/>
              </w:rPr>
              <w:t xml:space="preserve">metern rund um den Vulkan eingerichtet. Denn gerade die schwachen Erdbeben, die eine Stärke von weniger als 1 haben, sind häufig Anzeichen dafür, dass ein Vulkan aktiv wird. Zum Beispiel wurden am betroffenen Südwesthang des </w:t>
            </w:r>
            <w:hyperlink r:id="rId12" w:tooltip="Ätna" w:history="1">
              <w:r w:rsidR="00E040BA" w:rsidRPr="00985BF3">
                <w:rPr>
                  <w:rStyle w:val="Hyperlink"/>
                  <w:rFonts w:ascii="Arial" w:hAnsi="Arial" w:cs="Arial"/>
                  <w:color w:val="auto"/>
                  <w:sz w:val="18"/>
                  <w:szCs w:val="18"/>
                  <w:u w:val="none"/>
                </w:rPr>
                <w:t>Ätna</w:t>
              </w:r>
            </w:hyperlink>
            <w:r w:rsidR="00E040BA" w:rsidRPr="00985BF3">
              <w:rPr>
                <w:rFonts w:ascii="Arial" w:hAnsi="Arial" w:cs="Arial"/>
                <w:sz w:val="18"/>
                <w:szCs w:val="18"/>
              </w:rPr>
              <w:t xml:space="preserve"> in den 12 Stunden vor dem 1981er </w:t>
            </w:r>
            <w:r w:rsidR="00D83153">
              <w:rPr>
                <w:rFonts w:ascii="Arial" w:hAnsi="Arial" w:cs="Arial"/>
                <w:sz w:val="18"/>
                <w:szCs w:val="18"/>
              </w:rPr>
              <w:t>Ausbruch etwa 2‘</w:t>
            </w:r>
            <w:r w:rsidR="00E040BA" w:rsidRPr="00985BF3">
              <w:rPr>
                <w:rFonts w:ascii="Arial" w:hAnsi="Arial" w:cs="Arial"/>
                <w:sz w:val="18"/>
                <w:szCs w:val="18"/>
              </w:rPr>
              <w:t xml:space="preserve">800 kleinere Erdstöße durch die vor Ort installierten </w:t>
            </w:r>
            <w:hyperlink r:id="rId13" w:tooltip="Seismometer" w:history="1">
              <w:r w:rsidR="00E040BA" w:rsidRPr="00985BF3">
                <w:rPr>
                  <w:rStyle w:val="Hyperlink"/>
                  <w:rFonts w:ascii="Arial" w:hAnsi="Arial" w:cs="Arial"/>
                  <w:color w:val="auto"/>
                  <w:sz w:val="18"/>
                  <w:szCs w:val="18"/>
                  <w:u w:val="none"/>
                </w:rPr>
                <w:t>Seismometer</w:t>
              </w:r>
            </w:hyperlink>
            <w:r w:rsidR="00E040BA" w:rsidRPr="00985BF3">
              <w:rPr>
                <w:rFonts w:ascii="Arial" w:hAnsi="Arial" w:cs="Arial"/>
                <w:sz w:val="18"/>
                <w:szCs w:val="18"/>
              </w:rPr>
              <w:t xml:space="preserve"> als Tremor registriert. Über ein automatisches Übertragungs</w:t>
            </w:r>
            <w:r w:rsidR="00D83153">
              <w:rPr>
                <w:rFonts w:ascii="Arial" w:hAnsi="Arial" w:cs="Arial"/>
                <w:sz w:val="18"/>
                <w:szCs w:val="18"/>
              </w:rPr>
              <w:t>-</w:t>
            </w:r>
            <w:r w:rsidR="00E040BA" w:rsidRPr="00985BF3">
              <w:rPr>
                <w:rFonts w:ascii="Arial" w:hAnsi="Arial" w:cs="Arial"/>
                <w:sz w:val="18"/>
                <w:szCs w:val="18"/>
              </w:rPr>
              <w:t xml:space="preserve">system wurden die Daten direkt zum </w:t>
            </w:r>
            <w:hyperlink r:id="rId14" w:tooltip="Istituto Internazionale di Vulcanologia (Seite nicht vorhanden)" w:history="1">
              <w:proofErr w:type="spellStart"/>
              <w:r w:rsidR="00E040BA" w:rsidRPr="00985BF3">
                <w:rPr>
                  <w:rStyle w:val="Hyperlink"/>
                  <w:rFonts w:ascii="Arial" w:hAnsi="Arial" w:cs="Arial"/>
                  <w:color w:val="auto"/>
                  <w:sz w:val="18"/>
                  <w:szCs w:val="18"/>
                  <w:u w:val="none"/>
                </w:rPr>
                <w:t>Istituto</w:t>
              </w:r>
              <w:proofErr w:type="spellEnd"/>
              <w:r w:rsidR="00E040BA" w:rsidRPr="00985BF3">
                <w:rPr>
                  <w:rStyle w:val="Hyperlink"/>
                  <w:rFonts w:ascii="Arial" w:hAnsi="Arial" w:cs="Arial"/>
                  <w:color w:val="auto"/>
                  <w:sz w:val="18"/>
                  <w:szCs w:val="18"/>
                  <w:u w:val="none"/>
                </w:rPr>
                <w:t xml:space="preserve"> </w:t>
              </w:r>
              <w:proofErr w:type="spellStart"/>
              <w:r w:rsidR="00E040BA" w:rsidRPr="00985BF3">
                <w:rPr>
                  <w:rStyle w:val="Hyperlink"/>
                  <w:rFonts w:ascii="Arial" w:hAnsi="Arial" w:cs="Arial"/>
                  <w:color w:val="auto"/>
                  <w:sz w:val="18"/>
                  <w:szCs w:val="18"/>
                  <w:u w:val="none"/>
                </w:rPr>
                <w:t>Internazionale</w:t>
              </w:r>
              <w:proofErr w:type="spellEnd"/>
              <w:r w:rsidR="00E040BA" w:rsidRPr="00985BF3">
                <w:rPr>
                  <w:rStyle w:val="Hyperlink"/>
                  <w:rFonts w:ascii="Arial" w:hAnsi="Arial" w:cs="Arial"/>
                  <w:color w:val="auto"/>
                  <w:sz w:val="18"/>
                  <w:szCs w:val="18"/>
                  <w:u w:val="none"/>
                </w:rPr>
                <w:t xml:space="preserve"> di </w:t>
              </w:r>
              <w:proofErr w:type="spellStart"/>
              <w:r w:rsidR="00E040BA" w:rsidRPr="00985BF3">
                <w:rPr>
                  <w:rStyle w:val="Hyperlink"/>
                  <w:rFonts w:ascii="Arial" w:hAnsi="Arial" w:cs="Arial"/>
                  <w:color w:val="auto"/>
                  <w:sz w:val="18"/>
                  <w:szCs w:val="18"/>
                  <w:u w:val="none"/>
                </w:rPr>
                <w:lastRenderedPageBreak/>
                <w:t>Vulcanologia</w:t>
              </w:r>
              <w:proofErr w:type="spellEnd"/>
            </w:hyperlink>
            <w:r w:rsidR="00E040BA" w:rsidRPr="00985BF3">
              <w:rPr>
                <w:rFonts w:ascii="Arial" w:hAnsi="Arial" w:cs="Arial"/>
                <w:sz w:val="18"/>
                <w:szCs w:val="18"/>
              </w:rPr>
              <w:t xml:space="preserve"> in </w:t>
            </w:r>
            <w:hyperlink r:id="rId15" w:tooltip="Catania" w:history="1">
              <w:r w:rsidR="00E040BA" w:rsidRPr="00985BF3">
                <w:rPr>
                  <w:rStyle w:val="Hyperlink"/>
                  <w:rFonts w:ascii="Arial" w:hAnsi="Arial" w:cs="Arial"/>
                  <w:color w:val="auto"/>
                  <w:sz w:val="18"/>
                  <w:szCs w:val="18"/>
                  <w:u w:val="none"/>
                </w:rPr>
                <w:t>Catania</w:t>
              </w:r>
            </w:hyperlink>
            <w:r w:rsidR="00E040BA" w:rsidRPr="00985BF3">
              <w:rPr>
                <w:rFonts w:ascii="Arial" w:hAnsi="Arial" w:cs="Arial"/>
                <w:sz w:val="18"/>
                <w:szCs w:val="18"/>
              </w:rPr>
              <w:t xml:space="preserve"> weitergeleitet. Mit Hilfe moderner Technik werden Veränderungen der seismischen Aktivität heute in Echtzeit ermittelt. Strukturen und Vorgänge unter der Erdoberfläche können damit unmittelbar und exakt dargestellt und analysiert werden.</w:t>
            </w:r>
          </w:p>
          <w:p w:rsidR="00F34A6F" w:rsidRPr="00985BF3" w:rsidRDefault="00F34A6F" w:rsidP="00E040BA">
            <w:pPr>
              <w:pStyle w:val="StandardWeb"/>
              <w:rPr>
                <w:rFonts w:ascii="Arial" w:hAnsi="Arial" w:cs="Arial"/>
                <w:sz w:val="18"/>
                <w:szCs w:val="18"/>
              </w:rPr>
            </w:pPr>
            <w:r w:rsidRPr="00985BF3">
              <w:rPr>
                <w:rFonts w:ascii="Arial" w:hAnsi="Arial" w:cs="Arial"/>
                <w:sz w:val="18"/>
                <w:szCs w:val="18"/>
              </w:rPr>
              <w:t>(Quelle Wikipedia)</w:t>
            </w:r>
          </w:p>
          <w:p w:rsidR="00E94B53" w:rsidRPr="00985BF3" w:rsidRDefault="00E94B53" w:rsidP="004802BA">
            <w:pPr>
              <w:rPr>
                <w:rFonts w:ascii="Arial" w:hAnsi="Arial" w:cs="Arial"/>
                <w:sz w:val="18"/>
                <w:szCs w:val="18"/>
              </w:rPr>
            </w:pPr>
          </w:p>
          <w:p w:rsidR="00D5528B" w:rsidRPr="00985BF3" w:rsidRDefault="00D5528B" w:rsidP="004802BA">
            <w:pPr>
              <w:rPr>
                <w:rFonts w:ascii="Arial" w:hAnsi="Arial" w:cs="Arial"/>
                <w:sz w:val="18"/>
                <w:szCs w:val="18"/>
              </w:rPr>
            </w:pPr>
          </w:p>
        </w:tc>
        <w:tc>
          <w:tcPr>
            <w:tcW w:w="2942" w:type="dxa"/>
            <w:tcBorders>
              <w:bottom w:val="single" w:sz="4" w:space="0" w:color="auto"/>
            </w:tcBorders>
          </w:tcPr>
          <w:p w:rsidR="00D5528B" w:rsidRPr="00985BF3" w:rsidRDefault="00985BF3" w:rsidP="00D5528B">
            <w:pPr>
              <w:rPr>
                <w:rFonts w:ascii="Arial" w:hAnsi="Arial" w:cs="Arial"/>
                <w:sz w:val="18"/>
                <w:szCs w:val="18"/>
              </w:rPr>
            </w:pPr>
            <w:r>
              <w:rPr>
                <w:rFonts w:ascii="Arial" w:hAnsi="Arial" w:cs="Arial"/>
                <w:sz w:val="18"/>
                <w:szCs w:val="18"/>
              </w:rPr>
              <w:lastRenderedPageBreak/>
              <w:br/>
            </w:r>
            <w:r w:rsidR="00D5528B" w:rsidRPr="00985BF3">
              <w:rPr>
                <w:rFonts w:ascii="Arial" w:hAnsi="Arial" w:cs="Arial"/>
                <w:sz w:val="18"/>
                <w:szCs w:val="18"/>
              </w:rPr>
              <w:t xml:space="preserve">Eruptive Gase sind die Haupttriebkraft der vulkanischen Aktivität. Änderungen ihrer Menge, ihrer Temperatur und ihrer chemischen Zusammensetzung sind für die Vorhersage eines Vulkanausbruchs von grundlegender Bedeutung. Generell sind die Schwankungen im Chemismus der Gase umso höher, je heißer die Gase sind und je reger die vulkanische Aktivität ist. Bei hohem Gasausstoß lässt sich die Konzentration gewisser Gase mit Hilfe ihres </w:t>
            </w:r>
            <w:hyperlink r:id="rId16" w:tooltip="Absorptionsspektrum" w:history="1">
              <w:r w:rsidR="00D5528B" w:rsidRPr="00985BF3">
                <w:rPr>
                  <w:rStyle w:val="Hyperlink"/>
                  <w:rFonts w:ascii="Arial" w:hAnsi="Arial" w:cs="Arial"/>
                  <w:color w:val="auto"/>
                  <w:sz w:val="18"/>
                  <w:szCs w:val="18"/>
                  <w:u w:val="none"/>
                </w:rPr>
                <w:t>Absorptionsspektrums</w:t>
              </w:r>
            </w:hyperlink>
            <w:r w:rsidR="00D5528B" w:rsidRPr="00985BF3">
              <w:rPr>
                <w:rFonts w:ascii="Arial" w:hAnsi="Arial" w:cs="Arial"/>
                <w:sz w:val="18"/>
                <w:szCs w:val="18"/>
              </w:rPr>
              <w:t xml:space="preserve"> im sichtbaren Licht auch durch </w:t>
            </w:r>
            <w:hyperlink r:id="rId17" w:tooltip="Fernerkundung" w:history="1">
              <w:r w:rsidR="00D5528B" w:rsidRPr="00985BF3">
                <w:rPr>
                  <w:rStyle w:val="Hyperlink"/>
                  <w:rFonts w:ascii="Arial" w:hAnsi="Arial" w:cs="Arial"/>
                  <w:color w:val="auto"/>
                  <w:sz w:val="18"/>
                  <w:szCs w:val="18"/>
                  <w:u w:val="none"/>
                </w:rPr>
                <w:t>Fernerkundung</w:t>
              </w:r>
            </w:hyperlink>
            <w:r w:rsidR="00D5528B" w:rsidRPr="00985BF3">
              <w:rPr>
                <w:rFonts w:ascii="Arial" w:hAnsi="Arial" w:cs="Arial"/>
                <w:sz w:val="18"/>
                <w:szCs w:val="18"/>
              </w:rPr>
              <w:t xml:space="preserve"> bestimmen. Die geochemische Überwachung erstreckt sich auch auf die Beobachtung von </w:t>
            </w:r>
            <w:hyperlink r:id="rId18" w:tooltip="Grundwasser" w:history="1">
              <w:r w:rsidR="00D5528B" w:rsidRPr="00985BF3">
                <w:rPr>
                  <w:rStyle w:val="Hyperlink"/>
                  <w:rFonts w:ascii="Arial" w:hAnsi="Arial" w:cs="Arial"/>
                  <w:color w:val="auto"/>
                  <w:sz w:val="18"/>
                  <w:szCs w:val="18"/>
                  <w:u w:val="none"/>
                </w:rPr>
                <w:t>Grundwasser</w:t>
              </w:r>
            </w:hyperlink>
            <w:r w:rsidR="00D5528B" w:rsidRPr="00985BF3">
              <w:rPr>
                <w:rFonts w:ascii="Arial" w:hAnsi="Arial" w:cs="Arial"/>
                <w:sz w:val="18"/>
                <w:szCs w:val="18"/>
              </w:rPr>
              <w:t xml:space="preserve"> und von </w:t>
            </w:r>
            <w:hyperlink r:id="rId19" w:tooltip="Quelle" w:history="1">
              <w:r w:rsidR="00D5528B" w:rsidRPr="00985BF3">
                <w:rPr>
                  <w:rStyle w:val="Hyperlink"/>
                  <w:rFonts w:ascii="Arial" w:hAnsi="Arial" w:cs="Arial"/>
                  <w:color w:val="auto"/>
                  <w:sz w:val="18"/>
                  <w:szCs w:val="18"/>
                  <w:u w:val="none"/>
                </w:rPr>
                <w:t>Quellen</w:t>
              </w:r>
            </w:hyperlink>
            <w:r w:rsidR="00D5528B" w:rsidRPr="00985BF3">
              <w:rPr>
                <w:rFonts w:ascii="Arial" w:hAnsi="Arial" w:cs="Arial"/>
                <w:sz w:val="18"/>
                <w:szCs w:val="18"/>
              </w:rPr>
              <w:t xml:space="preserve">. Denn unterirdisches Wasser wird oft von vulkanischen Gasen kontaminiert, die dem Magma entweichen und sich im Boden ausbreiten. Eine besondere Rolle spielen dabei Helium und Radon. Beide Gase entstammen dem Erdmantel. Steigt eine Magmakammer auf, so erhöhen sich auch die Gehalte dieser Gase. So hat man zum Beispiel nach der Erdbebenkrise auf der griechischen Insel </w:t>
            </w:r>
            <w:hyperlink r:id="rId20" w:tooltip="Nisyros" w:history="1">
              <w:proofErr w:type="spellStart"/>
              <w:r w:rsidR="00D5528B" w:rsidRPr="00985BF3">
                <w:rPr>
                  <w:rStyle w:val="Hyperlink"/>
                  <w:rFonts w:ascii="Arial" w:hAnsi="Arial" w:cs="Arial"/>
                  <w:color w:val="auto"/>
                  <w:sz w:val="18"/>
                  <w:szCs w:val="18"/>
                  <w:u w:val="none"/>
                </w:rPr>
                <w:t>Nisyros</w:t>
              </w:r>
              <w:proofErr w:type="spellEnd"/>
            </w:hyperlink>
            <w:r w:rsidR="00D5528B" w:rsidRPr="00985BF3">
              <w:rPr>
                <w:rFonts w:ascii="Arial" w:hAnsi="Arial" w:cs="Arial"/>
                <w:sz w:val="18"/>
                <w:szCs w:val="18"/>
              </w:rPr>
              <w:t xml:space="preserve"> (1996) begonnen, die Gase und andere Faktoren genau zu überwachen, da man befürchtete, es könne ein </w:t>
            </w:r>
            <w:r w:rsidR="00D5528B" w:rsidRPr="00985BF3">
              <w:rPr>
                <w:rFonts w:ascii="Arial" w:hAnsi="Arial" w:cs="Arial"/>
                <w:sz w:val="18"/>
                <w:szCs w:val="18"/>
              </w:rPr>
              <w:lastRenderedPageBreak/>
              <w:t xml:space="preserve">Vulkanausbruch bevorstehen. Im Rahmen des EU-Programms </w:t>
            </w:r>
            <w:proofErr w:type="spellStart"/>
            <w:r w:rsidR="00D5528B" w:rsidRPr="00985BF3">
              <w:rPr>
                <w:rFonts w:ascii="Arial" w:hAnsi="Arial" w:cs="Arial"/>
                <w:i/>
                <w:iCs/>
                <w:sz w:val="18"/>
                <w:szCs w:val="18"/>
              </w:rPr>
              <w:t>Geowarn</w:t>
            </w:r>
            <w:proofErr w:type="spellEnd"/>
            <w:r w:rsidR="00D5528B" w:rsidRPr="00985BF3">
              <w:rPr>
                <w:rFonts w:ascii="Arial" w:hAnsi="Arial" w:cs="Arial"/>
                <w:sz w:val="18"/>
                <w:szCs w:val="18"/>
              </w:rPr>
              <w:t xml:space="preserve"> haben sich europäische Universitäten zusammengeschlossen und beobachten </w:t>
            </w:r>
            <w:proofErr w:type="spellStart"/>
            <w:r w:rsidR="00D5528B" w:rsidRPr="00985BF3">
              <w:rPr>
                <w:rFonts w:ascii="Arial" w:hAnsi="Arial" w:cs="Arial"/>
                <w:sz w:val="18"/>
                <w:szCs w:val="18"/>
              </w:rPr>
              <w:t>Nisyros</w:t>
            </w:r>
            <w:proofErr w:type="spellEnd"/>
            <w:r w:rsidR="00D5528B" w:rsidRPr="00985BF3">
              <w:rPr>
                <w:rFonts w:ascii="Arial" w:hAnsi="Arial" w:cs="Arial"/>
                <w:sz w:val="18"/>
                <w:szCs w:val="18"/>
              </w:rPr>
              <w:t>, den Vesuv und andere potentiell gefährliche Vulkane in Europa.</w:t>
            </w:r>
          </w:p>
          <w:p w:rsidR="00D5528B" w:rsidRPr="00985BF3" w:rsidRDefault="00D5528B" w:rsidP="00D5528B">
            <w:pPr>
              <w:rPr>
                <w:rFonts w:ascii="Arial" w:hAnsi="Arial" w:cs="Arial"/>
                <w:sz w:val="18"/>
                <w:szCs w:val="18"/>
              </w:rPr>
            </w:pPr>
            <w:r w:rsidRPr="00985BF3">
              <w:rPr>
                <w:rFonts w:ascii="Arial" w:hAnsi="Arial" w:cs="Arial"/>
                <w:sz w:val="18"/>
                <w:szCs w:val="18"/>
              </w:rPr>
              <w:t xml:space="preserve">Im Rahmen der internationalen Dekade zur „Schadensminimierung bei Naturkatastrophen 1990–2000“ wurden 15 Vulkane weltweit als Forschungsobjekte ausgewählt und kontinuierlich überwacht, darunter auch der </w:t>
            </w:r>
            <w:hyperlink r:id="rId21" w:tooltip="Vesuv" w:history="1">
              <w:r w:rsidRPr="00985BF3">
                <w:rPr>
                  <w:rStyle w:val="Hyperlink"/>
                  <w:rFonts w:ascii="Arial" w:hAnsi="Arial" w:cs="Arial"/>
                  <w:color w:val="auto"/>
                  <w:sz w:val="18"/>
                  <w:szCs w:val="18"/>
                  <w:u w:val="none"/>
                </w:rPr>
                <w:t>Vesuv</w:t>
              </w:r>
            </w:hyperlink>
            <w:r w:rsidRPr="00985BF3">
              <w:rPr>
                <w:rFonts w:ascii="Arial" w:hAnsi="Arial" w:cs="Arial"/>
                <w:sz w:val="18"/>
                <w:szCs w:val="18"/>
              </w:rPr>
              <w:t xml:space="preserve"> und der </w:t>
            </w:r>
            <w:hyperlink r:id="rId22" w:tooltip="Ätna" w:history="1">
              <w:r w:rsidRPr="00985BF3">
                <w:rPr>
                  <w:rStyle w:val="Hyperlink"/>
                  <w:rFonts w:ascii="Arial" w:hAnsi="Arial" w:cs="Arial"/>
                  <w:color w:val="auto"/>
                  <w:sz w:val="18"/>
                  <w:szCs w:val="18"/>
                  <w:u w:val="none"/>
                </w:rPr>
                <w:t>Ätna</w:t>
              </w:r>
            </w:hyperlink>
            <w:r w:rsidRPr="00985BF3">
              <w:rPr>
                <w:rFonts w:ascii="Arial" w:hAnsi="Arial" w:cs="Arial"/>
                <w:sz w:val="18"/>
                <w:szCs w:val="18"/>
              </w:rPr>
              <w:t>.</w:t>
            </w:r>
          </w:p>
          <w:p w:rsidR="00F34A6F" w:rsidRPr="00985BF3" w:rsidRDefault="00F34A6F" w:rsidP="00F34A6F">
            <w:pPr>
              <w:pStyle w:val="StandardWeb"/>
              <w:rPr>
                <w:rFonts w:ascii="Arial" w:hAnsi="Arial" w:cs="Arial"/>
                <w:sz w:val="18"/>
                <w:szCs w:val="18"/>
              </w:rPr>
            </w:pPr>
            <w:r w:rsidRPr="00985BF3">
              <w:rPr>
                <w:rFonts w:ascii="Arial" w:hAnsi="Arial" w:cs="Arial"/>
                <w:sz w:val="18"/>
                <w:szCs w:val="18"/>
              </w:rPr>
              <w:t>(Quelle Wikipedia)</w:t>
            </w:r>
          </w:p>
          <w:p w:rsidR="00E94B53" w:rsidRPr="00985BF3" w:rsidRDefault="00E94B53" w:rsidP="004802BA">
            <w:pPr>
              <w:rPr>
                <w:rFonts w:ascii="Arial" w:hAnsi="Arial" w:cs="Arial"/>
                <w:sz w:val="18"/>
                <w:szCs w:val="18"/>
              </w:rPr>
            </w:pPr>
          </w:p>
        </w:tc>
        <w:tc>
          <w:tcPr>
            <w:tcW w:w="2941" w:type="dxa"/>
            <w:tcBorders>
              <w:bottom w:val="single" w:sz="4" w:space="0" w:color="auto"/>
            </w:tcBorders>
          </w:tcPr>
          <w:p w:rsidR="00D5528B" w:rsidRPr="00985BF3" w:rsidRDefault="00985BF3" w:rsidP="00D5528B">
            <w:pPr>
              <w:rPr>
                <w:rFonts w:ascii="Arial" w:hAnsi="Arial" w:cs="Arial"/>
                <w:sz w:val="18"/>
                <w:szCs w:val="18"/>
              </w:rPr>
            </w:pPr>
            <w:r>
              <w:rPr>
                <w:rFonts w:ascii="Arial" w:hAnsi="Arial" w:cs="Arial"/>
                <w:sz w:val="18"/>
                <w:szCs w:val="18"/>
              </w:rPr>
              <w:lastRenderedPageBreak/>
              <w:br/>
            </w:r>
            <w:r w:rsidR="00D5528B" w:rsidRPr="00985BF3">
              <w:rPr>
                <w:rFonts w:ascii="Arial" w:hAnsi="Arial" w:cs="Arial"/>
                <w:sz w:val="18"/>
                <w:szCs w:val="18"/>
              </w:rPr>
              <w:t xml:space="preserve">Dringt Magma aus der Tiefe nach oben, so können in bestimmten Bereichen des Vulkans Deformationen der Erdoberfläche in Form von </w:t>
            </w:r>
            <w:proofErr w:type="spellStart"/>
            <w:r w:rsidR="00D5528B" w:rsidRPr="00985BF3">
              <w:rPr>
                <w:rFonts w:ascii="Arial" w:hAnsi="Arial" w:cs="Arial"/>
                <w:sz w:val="18"/>
                <w:szCs w:val="18"/>
              </w:rPr>
              <w:t>Aufbeulungen</w:t>
            </w:r>
            <w:proofErr w:type="spellEnd"/>
            <w:r w:rsidR="00D5528B" w:rsidRPr="00985BF3">
              <w:rPr>
                <w:rFonts w:ascii="Arial" w:hAnsi="Arial" w:cs="Arial"/>
                <w:sz w:val="18"/>
                <w:szCs w:val="18"/>
              </w:rPr>
              <w:t>, Absenkungen, Neigungen, Buckeln und Rissen entstehen. Diese Deformationen können mit meist in Bohrlöchern des Gesteins fest installierten Neigungsmessern (Klinometern) und Dehnungsmessern (</w:t>
            </w:r>
            <w:proofErr w:type="spellStart"/>
            <w:r w:rsidR="00D5528B" w:rsidRPr="00985BF3">
              <w:rPr>
                <w:rFonts w:ascii="Arial" w:hAnsi="Arial" w:cs="Arial"/>
                <w:sz w:val="18"/>
                <w:szCs w:val="18"/>
              </w:rPr>
              <w:t>Extensiometern</w:t>
            </w:r>
            <w:proofErr w:type="spellEnd"/>
            <w:r w:rsidR="00D5528B" w:rsidRPr="00985BF3">
              <w:rPr>
                <w:rFonts w:ascii="Arial" w:hAnsi="Arial" w:cs="Arial"/>
                <w:sz w:val="18"/>
                <w:szCs w:val="18"/>
              </w:rPr>
              <w:t>) vor Ort gemessen werden. Diese Phänomene können aber auch schon mit einfachen Mitteln wie zum Beispiel mit einem Bandmaß oder durch aufgesprühte Linien erkannt werde</w:t>
            </w:r>
            <w:r w:rsidR="00F34A6F" w:rsidRPr="00985BF3">
              <w:rPr>
                <w:rFonts w:ascii="Arial" w:hAnsi="Arial" w:cs="Arial"/>
                <w:sz w:val="18"/>
                <w:szCs w:val="18"/>
              </w:rPr>
              <w:t>n.</w:t>
            </w:r>
          </w:p>
          <w:p w:rsidR="00D5528B" w:rsidRPr="00985BF3" w:rsidRDefault="00D5528B" w:rsidP="00D5528B">
            <w:pPr>
              <w:rPr>
                <w:rFonts w:ascii="Arial" w:hAnsi="Arial" w:cs="Arial"/>
                <w:sz w:val="18"/>
                <w:szCs w:val="18"/>
              </w:rPr>
            </w:pPr>
            <w:r w:rsidRPr="00985BF3">
              <w:rPr>
                <w:rFonts w:ascii="Arial" w:hAnsi="Arial" w:cs="Arial"/>
                <w:sz w:val="18"/>
                <w:szCs w:val="18"/>
              </w:rPr>
              <w:t xml:space="preserve">Anfang August 1982 hatten Geologen im Kraterboden des Mount St. Helens viele schmale Bodenrisse entdeckt und sie mit Farblinien markiert. Zwei Tage später bereits waren die Linien deutlich gekrümmt, was eine Veränderung der Risse durch aufsteigendes Magma anzeigte. Wenige Tage später kam es zu einer heftigen Eruption des Vulkans. Im Oktober 2004 wurde am Mount St. Helens eine </w:t>
            </w:r>
            <w:proofErr w:type="spellStart"/>
            <w:r w:rsidRPr="00985BF3">
              <w:rPr>
                <w:rFonts w:ascii="Arial" w:hAnsi="Arial" w:cs="Arial"/>
                <w:sz w:val="18"/>
                <w:szCs w:val="18"/>
              </w:rPr>
              <w:t>Aufbeulung</w:t>
            </w:r>
            <w:proofErr w:type="spellEnd"/>
            <w:r w:rsidRPr="00985BF3">
              <w:rPr>
                <w:rFonts w:ascii="Arial" w:hAnsi="Arial" w:cs="Arial"/>
                <w:sz w:val="18"/>
                <w:szCs w:val="18"/>
              </w:rPr>
              <w:t xml:space="preserve"> einer Vulkanflanke von mehr als 100 m beobachtet, die auc</w:t>
            </w:r>
            <w:r w:rsidR="00F34A6F" w:rsidRPr="00985BF3">
              <w:rPr>
                <w:rFonts w:ascii="Arial" w:hAnsi="Arial" w:cs="Arial"/>
                <w:sz w:val="18"/>
                <w:szCs w:val="18"/>
              </w:rPr>
              <w:t>h mit bloßem Auge sichtbar war.</w:t>
            </w:r>
          </w:p>
          <w:p w:rsidR="00D5528B" w:rsidRPr="00985BF3" w:rsidRDefault="00D5528B" w:rsidP="00D5528B">
            <w:pPr>
              <w:rPr>
                <w:rFonts w:ascii="Arial" w:hAnsi="Arial" w:cs="Arial"/>
                <w:sz w:val="18"/>
                <w:szCs w:val="18"/>
              </w:rPr>
            </w:pPr>
            <w:r w:rsidRPr="00985BF3">
              <w:rPr>
                <w:rFonts w:ascii="Arial" w:hAnsi="Arial" w:cs="Arial"/>
                <w:sz w:val="18"/>
                <w:szCs w:val="18"/>
              </w:rPr>
              <w:t xml:space="preserve">Eine komplexere und exaktere Methode zur Erfassung morphologischer Veränderungen </w:t>
            </w:r>
            <w:r w:rsidRPr="00985BF3">
              <w:rPr>
                <w:rFonts w:ascii="Arial" w:hAnsi="Arial" w:cs="Arial"/>
                <w:sz w:val="18"/>
                <w:szCs w:val="18"/>
              </w:rPr>
              <w:lastRenderedPageBreak/>
              <w:t>ist zum Beispiel die Messung horizontaler Entfernungen mit Elektronischer Distanzmessung (EDM). Ein EDM kann elektromagnetische Signale senden und empfangen. Die Wellenphase verschiebt sich dabei in Abhängigkeit von der Entfernung zwischen EDM und reflektierendem Objekt und gibt damit das Ausmaß der entstandenen Verschiebung an. EDMs haben Reichweiten bis zu 50 km und hohe Messgenauigkeiten von wenigen Millimetern. Oberflächenveränderungen vor allem größerer Gebiete und abgelegener Vulkane werden mit Hilfe von satellitengestützten geodäti</w:t>
            </w:r>
            <w:r w:rsidR="00F34A6F" w:rsidRPr="00985BF3">
              <w:rPr>
                <w:rFonts w:ascii="Arial" w:hAnsi="Arial" w:cs="Arial"/>
                <w:sz w:val="18"/>
                <w:szCs w:val="18"/>
              </w:rPr>
              <w:t>schen Messverfahren beobachtet.</w:t>
            </w:r>
          </w:p>
          <w:p w:rsidR="00E94B53" w:rsidRPr="00985BF3" w:rsidRDefault="00D5528B" w:rsidP="00D5528B">
            <w:pPr>
              <w:rPr>
                <w:rFonts w:ascii="Arial" w:hAnsi="Arial" w:cs="Arial"/>
                <w:sz w:val="18"/>
                <w:szCs w:val="18"/>
              </w:rPr>
            </w:pPr>
            <w:r w:rsidRPr="00985BF3">
              <w:rPr>
                <w:rFonts w:ascii="Arial" w:hAnsi="Arial" w:cs="Arial"/>
                <w:sz w:val="18"/>
                <w:szCs w:val="18"/>
              </w:rPr>
              <w:t>Da sich in Folge von Deformationen des Geländes auch Grundwasser- und Oberflächenwasserstände relativ zueinander verändern können, werden oft Grundwassermessstellen eingerichtet und in gewässernahen Gebieten Fluss- und Seewasserpegel installiert. Man setzt inzwischen auch Satellitenbilder zur Überwachung von Vulkanen und deren Ve</w:t>
            </w:r>
            <w:r w:rsidR="00F34A6F" w:rsidRPr="00985BF3">
              <w:rPr>
                <w:rFonts w:ascii="Arial" w:hAnsi="Arial" w:cs="Arial"/>
                <w:sz w:val="18"/>
                <w:szCs w:val="18"/>
              </w:rPr>
              <w:t>rformung bzw. Aufwölbung ein</w:t>
            </w:r>
          </w:p>
          <w:p w:rsidR="00F34A6F" w:rsidRPr="00985BF3" w:rsidRDefault="00F34A6F" w:rsidP="00D5528B">
            <w:pPr>
              <w:rPr>
                <w:rFonts w:ascii="Arial" w:hAnsi="Arial" w:cs="Arial"/>
                <w:sz w:val="18"/>
                <w:szCs w:val="18"/>
              </w:rPr>
            </w:pPr>
          </w:p>
          <w:p w:rsidR="00F34A6F" w:rsidRPr="00985BF3" w:rsidRDefault="00F34A6F" w:rsidP="00F34A6F">
            <w:pPr>
              <w:pStyle w:val="StandardWeb"/>
              <w:rPr>
                <w:rFonts w:ascii="Arial" w:hAnsi="Arial" w:cs="Arial"/>
                <w:sz w:val="18"/>
                <w:szCs w:val="18"/>
              </w:rPr>
            </w:pPr>
            <w:r w:rsidRPr="00985BF3">
              <w:rPr>
                <w:rFonts w:ascii="Arial" w:hAnsi="Arial" w:cs="Arial"/>
                <w:sz w:val="18"/>
                <w:szCs w:val="18"/>
              </w:rPr>
              <w:t>(Quelle Wikipedia)</w:t>
            </w:r>
          </w:p>
          <w:p w:rsidR="00F34A6F" w:rsidRPr="00985BF3" w:rsidRDefault="00F34A6F" w:rsidP="00D5528B">
            <w:pPr>
              <w:rPr>
                <w:rFonts w:ascii="Arial" w:hAnsi="Arial" w:cs="Arial"/>
                <w:sz w:val="18"/>
                <w:szCs w:val="18"/>
              </w:rPr>
            </w:pPr>
          </w:p>
        </w:tc>
        <w:tc>
          <w:tcPr>
            <w:tcW w:w="2942" w:type="dxa"/>
            <w:tcBorders>
              <w:bottom w:val="single" w:sz="4" w:space="0" w:color="auto"/>
            </w:tcBorders>
          </w:tcPr>
          <w:p w:rsidR="00E94B53" w:rsidRPr="00985BF3" w:rsidRDefault="00985BF3" w:rsidP="00D83153">
            <w:pPr>
              <w:rPr>
                <w:rFonts w:ascii="Arial" w:hAnsi="Arial" w:cs="Arial"/>
                <w:sz w:val="18"/>
                <w:szCs w:val="18"/>
              </w:rPr>
            </w:pPr>
            <w:r>
              <w:rPr>
                <w:rFonts w:ascii="Arial" w:hAnsi="Arial" w:cs="Arial"/>
                <w:sz w:val="18"/>
                <w:szCs w:val="18"/>
              </w:rPr>
              <w:lastRenderedPageBreak/>
              <w:br/>
            </w:r>
            <w:r w:rsidR="000E1517" w:rsidRPr="00985BF3">
              <w:rPr>
                <w:rFonts w:ascii="Arial" w:hAnsi="Arial" w:cs="Arial"/>
                <w:sz w:val="18"/>
                <w:szCs w:val="18"/>
              </w:rPr>
              <w:t>Von einem Forschungsschiff werden seismische Wellen durch den Vulkan geschossen. Die Wellen durchdringen die verschiedenen Gesteinsarten und Magmakammern mit unterschiedlichen Geschwindigkeit</w:t>
            </w:r>
            <w:r w:rsidR="00D83153">
              <w:rPr>
                <w:rFonts w:ascii="Arial" w:hAnsi="Arial" w:cs="Arial"/>
                <w:sz w:val="18"/>
                <w:szCs w:val="18"/>
              </w:rPr>
              <w:t>en</w:t>
            </w:r>
            <w:r w:rsidR="000E1517" w:rsidRPr="00985BF3">
              <w:rPr>
                <w:rFonts w:ascii="Arial" w:hAnsi="Arial" w:cs="Arial"/>
                <w:sz w:val="18"/>
                <w:szCs w:val="18"/>
              </w:rPr>
              <w:t xml:space="preserve">. </w:t>
            </w:r>
            <w:r w:rsidR="00D83153">
              <w:rPr>
                <w:rFonts w:ascii="Arial" w:hAnsi="Arial" w:cs="Arial"/>
                <w:sz w:val="18"/>
                <w:szCs w:val="18"/>
              </w:rPr>
              <w:t>Dies macht</w:t>
            </w:r>
            <w:r w:rsidR="000E1517" w:rsidRPr="00985BF3">
              <w:rPr>
                <w:rFonts w:ascii="Arial" w:hAnsi="Arial" w:cs="Arial"/>
                <w:sz w:val="18"/>
                <w:szCs w:val="18"/>
              </w:rPr>
              <w:t xml:space="preserve"> es den Wissenschaftler</w:t>
            </w:r>
            <w:r w:rsidR="00D83153">
              <w:rPr>
                <w:rFonts w:ascii="Arial" w:hAnsi="Arial" w:cs="Arial"/>
                <w:sz w:val="18"/>
                <w:szCs w:val="18"/>
              </w:rPr>
              <w:t>n</w:t>
            </w:r>
            <w:r w:rsidR="000E1517" w:rsidRPr="00985BF3">
              <w:rPr>
                <w:rFonts w:ascii="Arial" w:hAnsi="Arial" w:cs="Arial"/>
                <w:sz w:val="18"/>
                <w:szCs w:val="18"/>
              </w:rPr>
              <w:t xml:space="preserve"> möglich ein Bild des Inneren des Vulkans zu erstellen. </w:t>
            </w:r>
          </w:p>
        </w:tc>
      </w:tr>
    </w:tbl>
    <w:p w:rsidR="001B1D2B" w:rsidRPr="00270D8B" w:rsidRDefault="001B1D2B" w:rsidP="00780417">
      <w:pPr>
        <w:rPr>
          <w:rFonts w:ascii="Arial" w:hAnsi="Arial" w:cs="Arial"/>
          <w:color w:val="A6A6A6" w:themeColor="background1" w:themeShade="A6"/>
          <w:sz w:val="20"/>
          <w:szCs w:val="20"/>
        </w:rPr>
      </w:pPr>
    </w:p>
    <w:sectPr w:rsidR="001B1D2B" w:rsidRPr="00270D8B" w:rsidSect="004802BA">
      <w:headerReference w:type="default" r:id="rId23"/>
      <w:pgSz w:w="16838" w:h="11906" w:orient="landscape"/>
      <w:pgMar w:top="406" w:right="1417" w:bottom="851"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6A" w:rsidRDefault="0087236A" w:rsidP="00780417">
      <w:pPr>
        <w:spacing w:after="0" w:line="240" w:lineRule="auto"/>
      </w:pPr>
      <w:r>
        <w:separator/>
      </w:r>
    </w:p>
  </w:endnote>
  <w:endnote w:type="continuationSeparator" w:id="0">
    <w:p w:rsidR="0087236A" w:rsidRDefault="0087236A" w:rsidP="0078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6A" w:rsidRDefault="0087236A" w:rsidP="00780417">
      <w:pPr>
        <w:spacing w:after="0" w:line="240" w:lineRule="auto"/>
      </w:pPr>
      <w:r>
        <w:separator/>
      </w:r>
    </w:p>
  </w:footnote>
  <w:footnote w:type="continuationSeparator" w:id="0">
    <w:p w:rsidR="0087236A" w:rsidRDefault="0087236A" w:rsidP="00780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17" w:rsidRPr="00780417" w:rsidRDefault="00780417">
    <w:pPr>
      <w:pStyle w:val="Kopfzeile"/>
      <w:rPr>
        <w:rFonts w:ascii="Arial" w:hAnsi="Arial" w:cs="Arial"/>
        <w:b/>
        <w:sz w:val="24"/>
        <w:szCs w:val="24"/>
      </w:rPr>
    </w:pPr>
    <w:r>
      <w:rPr>
        <w:rFonts w:ascii="Arial" w:hAnsi="Arial"/>
        <w:noProof/>
        <w:lang w:eastAsia="de-CH"/>
      </w:rPr>
      <w:drawing>
        <wp:inline distT="0" distB="0" distL="0" distR="0" wp14:anchorId="604F35EF" wp14:editId="59D4E8AA">
          <wp:extent cx="1196502" cy="334680"/>
          <wp:effectExtent l="0" t="0" r="3810" b="8255"/>
          <wp:docPr id="8"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198965" cy="335369"/>
                  </a:xfrm>
                  <a:prstGeom prst="rect">
                    <a:avLst/>
                  </a:prstGeom>
                  <a:noFill/>
                  <a:ln w="9525">
                    <a:noFill/>
                    <a:miter lim="800000"/>
                    <a:headEnd/>
                    <a:tailEnd/>
                  </a:ln>
                </pic:spPr>
              </pic:pic>
            </a:graphicData>
          </a:graphic>
        </wp:inline>
      </w:drawing>
    </w:r>
    <w:r w:rsidR="002D3EC9">
      <w:tab/>
    </w:r>
    <w:r w:rsidR="002D3EC9">
      <w:tab/>
    </w:r>
    <w:r w:rsidR="002D3EC9">
      <w:tab/>
    </w:r>
    <w:r w:rsidR="002D3EC9">
      <w:tab/>
    </w:r>
    <w:r w:rsidR="002D3EC9">
      <w:tab/>
    </w:r>
    <w:r w:rsidR="002D3EC9">
      <w:tab/>
      <w:t xml:space="preserve">    </w:t>
    </w:r>
    <w:r w:rsidR="00877E04">
      <w:rPr>
        <w:rFonts w:ascii="Arial" w:hAnsi="Arial" w:cs="Arial"/>
        <w:b/>
        <w:sz w:val="24"/>
        <w:szCs w:val="24"/>
      </w:rPr>
      <w:t>Arbeitsblatt 3</w:t>
    </w:r>
    <w:r w:rsidR="002D3EC9">
      <w:rPr>
        <w:rFonts w:ascii="Arial" w:hAnsi="Arial" w:cs="Arial"/>
        <w:b/>
        <w:sz w:val="24"/>
        <w:szCs w:val="24"/>
      </w:rPr>
      <w:t xml:space="preserve"> Lösungen </w:t>
    </w:r>
  </w:p>
  <w:p w:rsidR="00780417" w:rsidRDefault="007804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7A80E1D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D5"/>
    <w:rsid w:val="000E1517"/>
    <w:rsid w:val="001B1D2B"/>
    <w:rsid w:val="00256E04"/>
    <w:rsid w:val="00270D8B"/>
    <w:rsid w:val="002D3EC9"/>
    <w:rsid w:val="003464B4"/>
    <w:rsid w:val="004802BA"/>
    <w:rsid w:val="005E0856"/>
    <w:rsid w:val="006617CC"/>
    <w:rsid w:val="0066740E"/>
    <w:rsid w:val="00780417"/>
    <w:rsid w:val="00847626"/>
    <w:rsid w:val="0087236A"/>
    <w:rsid w:val="00877E04"/>
    <w:rsid w:val="008C40D9"/>
    <w:rsid w:val="00985BF3"/>
    <w:rsid w:val="00B87DDC"/>
    <w:rsid w:val="00BF7760"/>
    <w:rsid w:val="00C136B0"/>
    <w:rsid w:val="00C67CD5"/>
    <w:rsid w:val="00D5528B"/>
    <w:rsid w:val="00D83153"/>
    <w:rsid w:val="00D97C89"/>
    <w:rsid w:val="00E040BA"/>
    <w:rsid w:val="00E26F99"/>
    <w:rsid w:val="00E51D7F"/>
    <w:rsid w:val="00E94B53"/>
    <w:rsid w:val="00EC322E"/>
    <w:rsid w:val="00F34A6F"/>
    <w:rsid w:val="00F434C0"/>
    <w:rsid w:val="00F70D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7C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CD5"/>
    <w:rPr>
      <w:rFonts w:ascii="Tahoma" w:hAnsi="Tahoma" w:cs="Tahoma"/>
      <w:sz w:val="16"/>
      <w:szCs w:val="16"/>
    </w:rPr>
  </w:style>
  <w:style w:type="paragraph" w:styleId="Kopfzeile">
    <w:name w:val="header"/>
    <w:basedOn w:val="Standard"/>
    <w:link w:val="KopfzeileZchn"/>
    <w:uiPriority w:val="99"/>
    <w:unhideWhenUsed/>
    <w:rsid w:val="00780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417"/>
  </w:style>
  <w:style w:type="paragraph" w:styleId="Fuzeile">
    <w:name w:val="footer"/>
    <w:basedOn w:val="Standard"/>
    <w:link w:val="FuzeileZchn"/>
    <w:uiPriority w:val="99"/>
    <w:unhideWhenUsed/>
    <w:rsid w:val="00780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417"/>
  </w:style>
  <w:style w:type="paragraph" w:styleId="Listenabsatz">
    <w:name w:val="List Paragraph"/>
    <w:basedOn w:val="Standard"/>
    <w:uiPriority w:val="34"/>
    <w:qFormat/>
    <w:rsid w:val="00780417"/>
    <w:pPr>
      <w:ind w:left="720"/>
      <w:contextualSpacing/>
    </w:pPr>
  </w:style>
  <w:style w:type="table" w:styleId="Tabellenraster">
    <w:name w:val="Table Grid"/>
    <w:basedOn w:val="NormaleTabelle"/>
    <w:uiPriority w:val="59"/>
    <w:rsid w:val="00E94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E040B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E04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7C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CD5"/>
    <w:rPr>
      <w:rFonts w:ascii="Tahoma" w:hAnsi="Tahoma" w:cs="Tahoma"/>
      <w:sz w:val="16"/>
      <w:szCs w:val="16"/>
    </w:rPr>
  </w:style>
  <w:style w:type="paragraph" w:styleId="Kopfzeile">
    <w:name w:val="header"/>
    <w:basedOn w:val="Standard"/>
    <w:link w:val="KopfzeileZchn"/>
    <w:uiPriority w:val="99"/>
    <w:unhideWhenUsed/>
    <w:rsid w:val="00780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417"/>
  </w:style>
  <w:style w:type="paragraph" w:styleId="Fuzeile">
    <w:name w:val="footer"/>
    <w:basedOn w:val="Standard"/>
    <w:link w:val="FuzeileZchn"/>
    <w:uiPriority w:val="99"/>
    <w:unhideWhenUsed/>
    <w:rsid w:val="00780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417"/>
  </w:style>
  <w:style w:type="paragraph" w:styleId="Listenabsatz">
    <w:name w:val="List Paragraph"/>
    <w:basedOn w:val="Standard"/>
    <w:uiPriority w:val="34"/>
    <w:qFormat/>
    <w:rsid w:val="00780417"/>
    <w:pPr>
      <w:ind w:left="720"/>
      <w:contextualSpacing/>
    </w:pPr>
  </w:style>
  <w:style w:type="table" w:styleId="Tabellenraster">
    <w:name w:val="Table Grid"/>
    <w:basedOn w:val="NormaleTabelle"/>
    <w:uiPriority w:val="59"/>
    <w:rsid w:val="00E94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E040B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E04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8588">
      <w:bodyDiv w:val="1"/>
      <w:marLeft w:val="0"/>
      <w:marRight w:val="0"/>
      <w:marTop w:val="0"/>
      <w:marBottom w:val="0"/>
      <w:divBdr>
        <w:top w:val="none" w:sz="0" w:space="0" w:color="auto"/>
        <w:left w:val="none" w:sz="0" w:space="0" w:color="auto"/>
        <w:bottom w:val="none" w:sz="0" w:space="0" w:color="auto"/>
        <w:right w:val="none" w:sz="0" w:space="0" w:color="auto"/>
      </w:divBdr>
    </w:div>
    <w:div w:id="1920557028">
      <w:bodyDiv w:val="1"/>
      <w:marLeft w:val="0"/>
      <w:marRight w:val="0"/>
      <w:marTop w:val="0"/>
      <w:marBottom w:val="0"/>
      <w:divBdr>
        <w:top w:val="none" w:sz="0" w:space="0" w:color="auto"/>
        <w:left w:val="none" w:sz="0" w:space="0" w:color="auto"/>
        <w:bottom w:val="none" w:sz="0" w:space="0" w:color="auto"/>
        <w:right w:val="none" w:sz="0" w:space="0" w:color="auto"/>
      </w:divBdr>
      <w:divsChild>
        <w:div w:id="911045583">
          <w:marLeft w:val="0"/>
          <w:marRight w:val="0"/>
          <w:marTop w:val="0"/>
          <w:marBottom w:val="0"/>
          <w:divBdr>
            <w:top w:val="none" w:sz="0" w:space="0" w:color="auto"/>
            <w:left w:val="none" w:sz="0" w:space="0" w:color="auto"/>
            <w:bottom w:val="none" w:sz="0" w:space="0" w:color="auto"/>
            <w:right w:val="none" w:sz="0" w:space="0" w:color="auto"/>
          </w:divBdr>
          <w:divsChild>
            <w:div w:id="264701427">
              <w:marLeft w:val="0"/>
              <w:marRight w:val="0"/>
              <w:marTop w:val="0"/>
              <w:marBottom w:val="0"/>
              <w:divBdr>
                <w:top w:val="none" w:sz="0" w:space="0" w:color="auto"/>
                <w:left w:val="none" w:sz="0" w:space="0" w:color="auto"/>
                <w:bottom w:val="none" w:sz="0" w:space="0" w:color="auto"/>
                <w:right w:val="none" w:sz="0" w:space="0" w:color="auto"/>
              </w:divBdr>
              <w:divsChild>
                <w:div w:id="888153231">
                  <w:marLeft w:val="0"/>
                  <w:marRight w:val="0"/>
                  <w:marTop w:val="0"/>
                  <w:marBottom w:val="0"/>
                  <w:divBdr>
                    <w:top w:val="none" w:sz="0" w:space="0" w:color="auto"/>
                    <w:left w:val="none" w:sz="0" w:space="0" w:color="auto"/>
                    <w:bottom w:val="none" w:sz="0" w:space="0" w:color="auto"/>
                    <w:right w:val="none" w:sz="0" w:space="0" w:color="auto"/>
                  </w:divBdr>
                  <w:divsChild>
                    <w:div w:id="12839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6222">
          <w:marLeft w:val="0"/>
          <w:marRight w:val="0"/>
          <w:marTop w:val="0"/>
          <w:marBottom w:val="0"/>
          <w:divBdr>
            <w:top w:val="none" w:sz="0" w:space="0" w:color="auto"/>
            <w:left w:val="none" w:sz="0" w:space="0" w:color="auto"/>
            <w:bottom w:val="none" w:sz="0" w:space="0" w:color="auto"/>
            <w:right w:val="none" w:sz="0" w:space="0" w:color="auto"/>
          </w:divBdr>
          <w:divsChild>
            <w:div w:id="1872106298">
              <w:marLeft w:val="0"/>
              <w:marRight w:val="0"/>
              <w:marTop w:val="0"/>
              <w:marBottom w:val="0"/>
              <w:divBdr>
                <w:top w:val="none" w:sz="0" w:space="0" w:color="auto"/>
                <w:left w:val="none" w:sz="0" w:space="0" w:color="auto"/>
                <w:bottom w:val="none" w:sz="0" w:space="0" w:color="auto"/>
                <w:right w:val="none" w:sz="0" w:space="0" w:color="auto"/>
              </w:divBdr>
              <w:divsChild>
                <w:div w:id="150146642">
                  <w:marLeft w:val="0"/>
                  <w:marRight w:val="0"/>
                  <w:marTop w:val="0"/>
                  <w:marBottom w:val="0"/>
                  <w:divBdr>
                    <w:top w:val="none" w:sz="0" w:space="0" w:color="auto"/>
                    <w:left w:val="none" w:sz="0" w:space="0" w:color="auto"/>
                    <w:bottom w:val="none" w:sz="0" w:space="0" w:color="auto"/>
                    <w:right w:val="none" w:sz="0" w:space="0" w:color="auto"/>
                  </w:divBdr>
                  <w:divsChild>
                    <w:div w:id="19597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20000">
          <w:marLeft w:val="0"/>
          <w:marRight w:val="0"/>
          <w:marTop w:val="0"/>
          <w:marBottom w:val="0"/>
          <w:divBdr>
            <w:top w:val="none" w:sz="0" w:space="0" w:color="auto"/>
            <w:left w:val="none" w:sz="0" w:space="0" w:color="auto"/>
            <w:bottom w:val="none" w:sz="0" w:space="0" w:color="auto"/>
            <w:right w:val="none" w:sz="0" w:space="0" w:color="auto"/>
          </w:divBdr>
          <w:divsChild>
            <w:div w:id="925768377">
              <w:marLeft w:val="0"/>
              <w:marRight w:val="0"/>
              <w:marTop w:val="0"/>
              <w:marBottom w:val="0"/>
              <w:divBdr>
                <w:top w:val="none" w:sz="0" w:space="0" w:color="auto"/>
                <w:left w:val="none" w:sz="0" w:space="0" w:color="auto"/>
                <w:bottom w:val="none" w:sz="0" w:space="0" w:color="auto"/>
                <w:right w:val="none" w:sz="0" w:space="0" w:color="auto"/>
              </w:divBdr>
              <w:divsChild>
                <w:div w:id="1220632788">
                  <w:marLeft w:val="0"/>
                  <w:marRight w:val="0"/>
                  <w:marTop w:val="0"/>
                  <w:marBottom w:val="0"/>
                  <w:divBdr>
                    <w:top w:val="none" w:sz="0" w:space="0" w:color="auto"/>
                    <w:left w:val="none" w:sz="0" w:space="0" w:color="auto"/>
                    <w:bottom w:val="none" w:sz="0" w:space="0" w:color="auto"/>
                    <w:right w:val="none" w:sz="0" w:space="0" w:color="auto"/>
                  </w:divBdr>
                  <w:divsChild>
                    <w:div w:id="18592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Seismometer" TargetMode="External"/><Relationship Id="rId18" Type="http://schemas.openxmlformats.org/officeDocument/2006/relationships/hyperlink" Target="http://de.wikipedia.org/wiki/Grundwasser" TargetMode="External"/><Relationship Id="rId3" Type="http://schemas.openxmlformats.org/officeDocument/2006/relationships/styles" Target="styles.xml"/><Relationship Id="rId21" Type="http://schemas.openxmlformats.org/officeDocument/2006/relationships/hyperlink" Target="http://de.wikipedia.org/wiki/Vesuv" TargetMode="External"/><Relationship Id="rId7" Type="http://schemas.openxmlformats.org/officeDocument/2006/relationships/footnotes" Target="footnotes.xml"/><Relationship Id="rId12" Type="http://schemas.openxmlformats.org/officeDocument/2006/relationships/hyperlink" Target="http://de.wikipedia.org/wiki/%C3%84tna" TargetMode="External"/><Relationship Id="rId17" Type="http://schemas.openxmlformats.org/officeDocument/2006/relationships/hyperlink" Target="http://de.wikipedia.org/wiki/Fernerkundu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wikipedia.org/wiki/Absorptionsspektrum" TargetMode="External"/><Relationship Id="rId20" Type="http://schemas.openxmlformats.org/officeDocument/2006/relationships/hyperlink" Target="http://de.wikipedia.org/wiki/Nisyr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Frequen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wikipedia.org/wiki/Catania" TargetMode="External"/><Relationship Id="rId23" Type="http://schemas.openxmlformats.org/officeDocument/2006/relationships/header" Target="header1.xml"/><Relationship Id="rId10" Type="http://schemas.openxmlformats.org/officeDocument/2006/relationships/hyperlink" Target="http://de.wikipedia.org/wiki/Erdbeben" TargetMode="External"/><Relationship Id="rId19" Type="http://schemas.openxmlformats.org/officeDocument/2006/relationships/hyperlink" Target="http://de.wikipedia.org/wiki/Quelle" TargetMode="External"/><Relationship Id="rId4" Type="http://schemas.microsoft.com/office/2007/relationships/stylesWithEffects" Target="stylesWithEffects.xml"/><Relationship Id="rId9" Type="http://schemas.openxmlformats.org/officeDocument/2006/relationships/hyperlink" Target="http://de.wikipedia.org/wiki/Magma" TargetMode="External"/><Relationship Id="rId14" Type="http://schemas.openxmlformats.org/officeDocument/2006/relationships/hyperlink" Target="http://de.wikipedia.org/w/index.php?title=Istituto_Internazionale_di_Vulcanologia&amp;action=edit&amp;redlink=1" TargetMode="External"/><Relationship Id="rId22" Type="http://schemas.openxmlformats.org/officeDocument/2006/relationships/hyperlink" Target="http://de.wikipedia.org/wiki/%C3%84t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1DA4-EE2A-4A7D-BA20-2932042F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62F7D2AD.dotm</Template>
  <TotalTime>0</TotalTime>
  <Pages>2</Pages>
  <Words>947</Words>
  <Characters>5972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Informatik tpc ag</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grössten Naturgewalten, Folge 2, Arbeitsblatt 3 Lösungen</dc:title>
  <dc:creator>Spinas, Andreas</dc:creator>
  <cp:lastModifiedBy>Schneider, Nadja (SRF)</cp:lastModifiedBy>
  <cp:revision>12</cp:revision>
  <dcterms:created xsi:type="dcterms:W3CDTF">2012-06-25T08:20:00Z</dcterms:created>
  <dcterms:modified xsi:type="dcterms:W3CDTF">2013-05-30T07:48:00Z</dcterms:modified>
</cp:coreProperties>
</file>