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127D3" w:rsidTr="000127D3">
        <w:tc>
          <w:tcPr>
            <w:tcW w:w="9356" w:type="dxa"/>
          </w:tcPr>
          <w:p w:rsidR="00D76196" w:rsidRDefault="00D761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0127D3" w:rsidTr="0039727A">
        <w:tc>
          <w:tcPr>
            <w:tcW w:w="9356" w:type="dxa"/>
          </w:tcPr>
          <w:p w:rsidR="00A73E05" w:rsidRDefault="00A73E05" w:rsidP="00A73E05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Wie heisst die im Beitrag gezeigte neue Technologie, welche den Detailhandel revolutionieren soll?</w:t>
            </w:r>
          </w:p>
          <w:p w:rsidR="0039727A" w:rsidRDefault="0039727A" w:rsidP="0039727A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  <w:p w:rsidR="00442666" w:rsidRPr="000127D3" w:rsidRDefault="0039727A" w:rsidP="00A73E05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proofErr w:type="spellStart"/>
            <w:r w:rsidRPr="0039727A">
              <w:rPr>
                <w:rFonts w:ascii="Arial" w:hAnsi="Arial"/>
                <w:b/>
                <w:sz w:val="20"/>
                <w:szCs w:val="24"/>
                <w:lang w:val="en-US"/>
              </w:rPr>
              <w:t>Funkchip-Technologie</w:t>
            </w:r>
            <w:proofErr w:type="spellEnd"/>
            <w:r w:rsidRPr="0039727A">
              <w:rPr>
                <w:rFonts w:ascii="Arial" w:hAnsi="Arial"/>
                <w:b/>
                <w:sz w:val="20"/>
                <w:szCs w:val="24"/>
                <w:lang w:val="en-US"/>
              </w:rPr>
              <w:t xml:space="preserve"> RFID</w:t>
            </w:r>
            <w:r>
              <w:rPr>
                <w:rFonts w:ascii="Arial" w:hAnsi="Arial"/>
                <w:sz w:val="20"/>
                <w:szCs w:val="24"/>
                <w:lang w:val="en-US"/>
              </w:rPr>
              <w:t xml:space="preserve"> </w:t>
            </w:r>
            <w:r w:rsidRPr="00F61A5D">
              <w:rPr>
                <w:rFonts w:ascii="Arial" w:hAnsi="Arial"/>
                <w:sz w:val="20"/>
                <w:szCs w:val="24"/>
                <w:lang w:val="en-US"/>
              </w:rPr>
              <w:t>(</w:t>
            </w:r>
            <w:r w:rsidRPr="00F61A5D">
              <w:rPr>
                <w:rFonts w:ascii="Arial" w:hAnsi="Arial"/>
                <w:b/>
                <w:sz w:val="20"/>
                <w:szCs w:val="24"/>
                <w:lang w:val="en-US"/>
              </w:rPr>
              <w:t>R</w:t>
            </w:r>
            <w:r w:rsidRPr="00F61A5D">
              <w:rPr>
                <w:rFonts w:ascii="Arial" w:hAnsi="Arial"/>
                <w:sz w:val="20"/>
                <w:szCs w:val="24"/>
                <w:lang w:val="en-US"/>
              </w:rPr>
              <w:t xml:space="preserve">adio </w:t>
            </w:r>
            <w:r w:rsidRPr="00F61A5D">
              <w:rPr>
                <w:rFonts w:ascii="Arial" w:hAnsi="Arial"/>
                <w:b/>
                <w:sz w:val="20"/>
                <w:szCs w:val="24"/>
                <w:lang w:val="en-US"/>
              </w:rPr>
              <w:t>F</w:t>
            </w:r>
            <w:r w:rsidRPr="00F61A5D">
              <w:rPr>
                <w:rFonts w:ascii="Arial" w:hAnsi="Arial"/>
                <w:sz w:val="20"/>
                <w:szCs w:val="24"/>
                <w:lang w:val="en-US"/>
              </w:rPr>
              <w:t xml:space="preserve">requency </w:t>
            </w:r>
            <w:r w:rsidRPr="00F61A5D">
              <w:rPr>
                <w:rFonts w:ascii="Arial" w:hAnsi="Arial"/>
                <w:b/>
                <w:sz w:val="20"/>
                <w:szCs w:val="24"/>
                <w:lang w:val="en-US"/>
              </w:rPr>
              <w:t>Id</w:t>
            </w:r>
            <w:r w:rsidRPr="00F61A5D">
              <w:rPr>
                <w:rFonts w:ascii="Arial" w:hAnsi="Arial"/>
                <w:sz w:val="20"/>
                <w:szCs w:val="24"/>
                <w:lang w:val="en-US"/>
              </w:rPr>
              <w:t>entification)</w:t>
            </w:r>
          </w:p>
        </w:tc>
      </w:tr>
      <w:tr w:rsidR="000127D3" w:rsidTr="000127D3">
        <w:tc>
          <w:tcPr>
            <w:tcW w:w="9356" w:type="dxa"/>
          </w:tcPr>
          <w:p w:rsidR="000127D3" w:rsidRDefault="000127D3" w:rsidP="0044266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B69DE" w:rsidTr="000127D3">
        <w:tc>
          <w:tcPr>
            <w:tcW w:w="9356" w:type="dxa"/>
          </w:tcPr>
          <w:p w:rsidR="0039727A" w:rsidRDefault="00CF13C9" w:rsidP="00CF13C9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Erklären Sie in einfachen Worten, wie es funktioniert:</w:t>
            </w:r>
          </w:p>
          <w:p w:rsidR="00AB69DE" w:rsidRPr="00CF13C9" w:rsidRDefault="00CF13C9" w:rsidP="0039727A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 w:rsidR="0039727A" w:rsidRPr="0039727A">
              <w:rPr>
                <w:rFonts w:ascii="Arial" w:hAnsi="Arial"/>
                <w:b/>
                <w:sz w:val="20"/>
              </w:rPr>
              <w:t>Das bisherige Scannen wird überflüssig</w:t>
            </w:r>
            <w:r w:rsidR="0039727A">
              <w:rPr>
                <w:rFonts w:ascii="Arial" w:hAnsi="Arial"/>
                <w:b/>
                <w:sz w:val="20"/>
              </w:rPr>
              <w:t>,</w:t>
            </w:r>
            <w:r w:rsidR="0039727A" w:rsidRPr="0039727A">
              <w:rPr>
                <w:rFonts w:ascii="Arial" w:hAnsi="Arial"/>
                <w:b/>
                <w:sz w:val="20"/>
              </w:rPr>
              <w:t xml:space="preserve"> weil jedes einzelne Produkt mit einem </w:t>
            </w:r>
            <w:proofErr w:type="spellStart"/>
            <w:r w:rsidR="0039727A" w:rsidRPr="0039727A">
              <w:rPr>
                <w:rFonts w:ascii="Arial" w:hAnsi="Arial"/>
                <w:b/>
                <w:sz w:val="20"/>
              </w:rPr>
              <w:t>Funkchip</w:t>
            </w:r>
            <w:proofErr w:type="spellEnd"/>
            <w:r w:rsidR="0039727A" w:rsidRPr="0039727A">
              <w:rPr>
                <w:rFonts w:ascii="Arial" w:hAnsi="Arial"/>
                <w:b/>
                <w:sz w:val="20"/>
              </w:rPr>
              <w:t xml:space="preserve"> ausgestattet ist. Vor dem Ladenausgang passiert </w:t>
            </w:r>
            <w:r w:rsidR="0039727A">
              <w:rPr>
                <w:rFonts w:ascii="Arial" w:hAnsi="Arial"/>
                <w:b/>
                <w:sz w:val="20"/>
              </w:rPr>
              <w:t xml:space="preserve">der Kunde </w:t>
            </w:r>
            <w:r w:rsidR="0039727A" w:rsidRPr="0039727A">
              <w:rPr>
                <w:rFonts w:ascii="Arial" w:hAnsi="Arial"/>
                <w:b/>
                <w:sz w:val="20"/>
              </w:rPr>
              <w:t>mit seinen Einkäufen eine Schranke, wo das Funksignal der Funkchips empfangen wird. Der Gesamtbetrag der  Ei</w:t>
            </w:r>
            <w:r w:rsidR="0039727A" w:rsidRPr="0039727A">
              <w:rPr>
                <w:rFonts w:ascii="Arial" w:hAnsi="Arial"/>
                <w:b/>
                <w:sz w:val="20"/>
              </w:rPr>
              <w:t>n</w:t>
            </w:r>
            <w:r w:rsidR="0039727A" w:rsidRPr="0039727A">
              <w:rPr>
                <w:rFonts w:ascii="Arial" w:hAnsi="Arial"/>
                <w:b/>
                <w:sz w:val="20"/>
              </w:rPr>
              <w:t>käufe wird berechnet und autom</w:t>
            </w:r>
            <w:r w:rsidR="0039727A" w:rsidRPr="0039727A">
              <w:rPr>
                <w:rFonts w:ascii="Arial" w:hAnsi="Arial"/>
                <w:b/>
                <w:sz w:val="20"/>
              </w:rPr>
              <w:t>a</w:t>
            </w:r>
            <w:r w:rsidR="0039727A" w:rsidRPr="0039727A">
              <w:rPr>
                <w:rFonts w:ascii="Arial" w:hAnsi="Arial"/>
                <w:b/>
                <w:sz w:val="20"/>
              </w:rPr>
              <w:t xml:space="preserve">tisch </w:t>
            </w:r>
            <w:r w:rsidR="0039727A">
              <w:rPr>
                <w:rFonts w:ascii="Arial" w:hAnsi="Arial"/>
                <w:b/>
                <w:sz w:val="20"/>
              </w:rPr>
              <w:t>dem</w:t>
            </w:r>
            <w:r w:rsidR="0039727A" w:rsidRPr="0039727A">
              <w:rPr>
                <w:rFonts w:ascii="Arial" w:hAnsi="Arial"/>
                <w:b/>
                <w:sz w:val="20"/>
              </w:rPr>
              <w:t xml:space="preserve"> Konto</w:t>
            </w:r>
            <w:r w:rsidR="0039727A">
              <w:rPr>
                <w:rFonts w:ascii="Arial" w:hAnsi="Arial"/>
                <w:b/>
                <w:sz w:val="20"/>
              </w:rPr>
              <w:t xml:space="preserve"> des Kunden</w:t>
            </w:r>
            <w:r w:rsidR="0039727A" w:rsidRPr="0039727A">
              <w:rPr>
                <w:rFonts w:ascii="Arial" w:hAnsi="Arial"/>
                <w:b/>
                <w:sz w:val="20"/>
              </w:rPr>
              <w:t xml:space="preserve"> belastet</w:t>
            </w:r>
            <w:r w:rsidR="0039727A">
              <w:rPr>
                <w:rFonts w:ascii="Arial" w:hAnsi="Arial"/>
                <w:sz w:val="20"/>
              </w:rPr>
              <w:t>.</w:t>
            </w:r>
          </w:p>
        </w:tc>
      </w:tr>
      <w:tr w:rsidR="000127D3" w:rsidTr="000127D3">
        <w:tc>
          <w:tcPr>
            <w:tcW w:w="9356" w:type="dxa"/>
          </w:tcPr>
          <w:p w:rsidR="000127D3" w:rsidRPr="00AB69DE" w:rsidRDefault="000127D3" w:rsidP="00AB69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B69DE" w:rsidTr="000127D3">
        <w:tc>
          <w:tcPr>
            <w:tcW w:w="9356" w:type="dxa"/>
          </w:tcPr>
          <w:p w:rsidR="00CF13C9" w:rsidRDefault="00CF13C9" w:rsidP="00CF13C9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 ist ein «Tante Emma-Laden»?</w:t>
            </w:r>
          </w:p>
          <w:p w:rsidR="0077253B" w:rsidRDefault="0077253B" w:rsidP="0077253B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  <w:p w:rsidR="00AB69DE" w:rsidRPr="0077253B" w:rsidRDefault="0077253B" w:rsidP="00CF13C9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Das ist der kleine Laden um die Ecke</w:t>
            </w:r>
            <w:r w:rsidRPr="0077253B">
              <w:rPr>
                <w:rFonts w:ascii="Arial" w:hAnsi="Arial"/>
                <w:b/>
                <w:sz w:val="20"/>
                <w:szCs w:val="24"/>
              </w:rPr>
              <w:t>, wo man sich kennt, und wo die Einkäufe des tägl</w:t>
            </w:r>
            <w:r w:rsidRPr="0077253B">
              <w:rPr>
                <w:rFonts w:ascii="Arial" w:hAnsi="Arial"/>
                <w:b/>
                <w:sz w:val="20"/>
                <w:szCs w:val="24"/>
              </w:rPr>
              <w:t>i</w:t>
            </w:r>
            <w:r w:rsidRPr="0077253B">
              <w:rPr>
                <w:rFonts w:ascii="Arial" w:hAnsi="Arial"/>
                <w:b/>
                <w:sz w:val="20"/>
                <w:szCs w:val="24"/>
              </w:rPr>
              <w:t xml:space="preserve">chen Bedarfs dank eines kleinen, regionalen Sortiments in unmittelbarer Nähe zum Wohnort möglich </w:t>
            </w:r>
            <w:proofErr w:type="gramStart"/>
            <w:r w:rsidRPr="0077253B">
              <w:rPr>
                <w:rFonts w:ascii="Arial" w:hAnsi="Arial"/>
                <w:b/>
                <w:sz w:val="20"/>
                <w:szCs w:val="24"/>
              </w:rPr>
              <w:t>ist</w:t>
            </w:r>
            <w:proofErr w:type="gramEnd"/>
            <w:r w:rsidRPr="0077253B">
              <w:rPr>
                <w:rFonts w:ascii="Arial" w:hAnsi="Arial"/>
                <w:b/>
                <w:sz w:val="20"/>
                <w:szCs w:val="24"/>
              </w:rPr>
              <w:t>. Da sowohl Kundschaft als auch Ladenbesitzer aus dem Quartier stammen, wird das Einkaufen zum sozialen Erlebnis.</w:t>
            </w:r>
          </w:p>
        </w:tc>
      </w:tr>
      <w:tr w:rsidR="000127D3" w:rsidTr="000127D3">
        <w:tc>
          <w:tcPr>
            <w:tcW w:w="9356" w:type="dxa"/>
          </w:tcPr>
          <w:p w:rsidR="000127D3" w:rsidRDefault="000127D3" w:rsidP="00D76196">
            <w:pPr>
              <w:pStyle w:val="Kopfzeile"/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</w:p>
        </w:tc>
      </w:tr>
      <w:tr w:rsidR="00AB69DE" w:rsidTr="000127D3">
        <w:tc>
          <w:tcPr>
            <w:tcW w:w="9356" w:type="dxa"/>
          </w:tcPr>
          <w:p w:rsidR="0077253B" w:rsidRPr="0077253B" w:rsidRDefault="00CF13C9" w:rsidP="0077253B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>Welche zwei entgegengesetzten Einkaufstrends werden im Beitrag erwähnt?</w:t>
            </w:r>
          </w:p>
          <w:p w:rsidR="00AB69DE" w:rsidRPr="00AB69DE" w:rsidRDefault="00CF13C9" w:rsidP="0077253B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4F712E">
              <w:rPr>
                <w:rFonts w:ascii="Arial" w:hAnsi="Arial"/>
                <w:sz w:val="20"/>
              </w:rPr>
              <w:br/>
            </w:r>
            <w:r w:rsidR="0077253B" w:rsidRPr="0077253B">
              <w:rPr>
                <w:rFonts w:ascii="Arial" w:hAnsi="Arial"/>
                <w:b/>
                <w:sz w:val="20"/>
              </w:rPr>
              <w:t>Einerseits das ortsunabhängige, mobile Einkaufen übers Internet mit modernen Geräten wie Smartphone</w:t>
            </w:r>
            <w:r w:rsidR="0077253B">
              <w:rPr>
                <w:rFonts w:ascii="Arial" w:hAnsi="Arial"/>
                <w:b/>
                <w:sz w:val="20"/>
              </w:rPr>
              <w:t xml:space="preserve"> oder Laptop</w:t>
            </w:r>
            <w:r w:rsidR="0077253B" w:rsidRPr="0077253B">
              <w:rPr>
                <w:rFonts w:ascii="Arial" w:hAnsi="Arial"/>
                <w:b/>
                <w:sz w:val="20"/>
              </w:rPr>
              <w:t>, wo kein persönlicher Kontakt zwischen Verkäufer und Käufer en</w:t>
            </w:r>
            <w:r w:rsidR="0077253B" w:rsidRPr="0077253B">
              <w:rPr>
                <w:rFonts w:ascii="Arial" w:hAnsi="Arial"/>
                <w:b/>
                <w:sz w:val="20"/>
              </w:rPr>
              <w:t>t</w:t>
            </w:r>
            <w:r w:rsidR="0077253B" w:rsidRPr="0077253B">
              <w:rPr>
                <w:rFonts w:ascii="Arial" w:hAnsi="Arial"/>
                <w:b/>
                <w:sz w:val="20"/>
              </w:rPr>
              <w:t>steht, andererseits der Einkauf in kleineren lokalen Läden</w:t>
            </w:r>
            <w:r w:rsidR="0077253B">
              <w:rPr>
                <w:rFonts w:ascii="Arial" w:hAnsi="Arial"/>
                <w:b/>
                <w:sz w:val="20"/>
              </w:rPr>
              <w:t>,</w:t>
            </w:r>
            <w:r w:rsidR="0077253B" w:rsidRPr="0077253B">
              <w:rPr>
                <w:rFonts w:ascii="Arial" w:hAnsi="Arial"/>
                <w:b/>
                <w:sz w:val="20"/>
              </w:rPr>
              <w:t xml:space="preserve"> wo man noch persönlich bedient und beraten wird und man die Produkte besser prüfen oder gar anfassen kann</w:t>
            </w:r>
            <w:r w:rsidR="0077253B">
              <w:rPr>
                <w:rFonts w:ascii="Arial" w:hAnsi="Arial"/>
                <w:sz w:val="20"/>
              </w:rPr>
              <w:t>.</w:t>
            </w:r>
          </w:p>
        </w:tc>
      </w:tr>
      <w:tr w:rsidR="00AB69DE" w:rsidTr="000127D3">
        <w:tc>
          <w:tcPr>
            <w:tcW w:w="9356" w:type="dxa"/>
          </w:tcPr>
          <w:p w:rsidR="00AB69DE" w:rsidRPr="004F712E" w:rsidRDefault="00AB69DE" w:rsidP="00AB69DE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</w:tc>
      </w:tr>
      <w:tr w:rsidR="000127D3" w:rsidTr="000127D3">
        <w:tc>
          <w:tcPr>
            <w:tcW w:w="9356" w:type="dxa"/>
          </w:tcPr>
          <w:p w:rsidR="00356FCB" w:rsidRDefault="00356FCB" w:rsidP="00356FCB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 kann man vom «Tante Emma-Laden» lernen?</w:t>
            </w:r>
          </w:p>
          <w:p w:rsidR="00BC5948" w:rsidRDefault="00BC5948" w:rsidP="00BC5948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  <w:p w:rsidR="0011371C" w:rsidRPr="00BC5948" w:rsidRDefault="00BC5948" w:rsidP="00BC5948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Das</w:t>
            </w:r>
            <w:r w:rsidRPr="00BC5948">
              <w:rPr>
                <w:rFonts w:ascii="Arial" w:hAnsi="Arial"/>
                <w:b/>
                <w:sz w:val="20"/>
                <w:szCs w:val="24"/>
              </w:rPr>
              <w:t xml:space="preserve"> Angebot</w:t>
            </w:r>
            <w:r>
              <w:rPr>
                <w:rFonts w:ascii="Arial" w:hAnsi="Arial"/>
                <w:b/>
                <w:sz w:val="20"/>
                <w:szCs w:val="24"/>
              </w:rPr>
              <w:t xml:space="preserve"> soll</w:t>
            </w:r>
            <w:r w:rsidRPr="00BC5948">
              <w:rPr>
                <w:rFonts w:ascii="Arial" w:hAnsi="Arial"/>
                <w:b/>
                <w:sz w:val="20"/>
                <w:szCs w:val="24"/>
              </w:rPr>
              <w:t xml:space="preserve"> nicht zu weit weg </w:t>
            </w:r>
            <w:r>
              <w:rPr>
                <w:rFonts w:ascii="Arial" w:hAnsi="Arial"/>
                <w:b/>
                <w:sz w:val="20"/>
                <w:szCs w:val="24"/>
              </w:rPr>
              <w:t xml:space="preserve">sein </w:t>
            </w:r>
            <w:r w:rsidRPr="00BC5948">
              <w:rPr>
                <w:rFonts w:ascii="Arial" w:hAnsi="Arial"/>
                <w:b/>
                <w:sz w:val="20"/>
                <w:szCs w:val="24"/>
              </w:rPr>
              <w:t>vom Wohnort und nur gerade das an</w:t>
            </w:r>
            <w:r>
              <w:rPr>
                <w:rFonts w:ascii="Arial" w:hAnsi="Arial"/>
                <w:b/>
                <w:sz w:val="20"/>
                <w:szCs w:val="24"/>
              </w:rPr>
              <w:t>bieten, was man braucht</w:t>
            </w:r>
            <w:r w:rsidRPr="00BC5948">
              <w:rPr>
                <w:rFonts w:ascii="Arial" w:hAnsi="Arial"/>
                <w:b/>
                <w:sz w:val="20"/>
                <w:szCs w:val="24"/>
              </w:rPr>
              <w:t xml:space="preserve"> und nicht das gesamte Sortiment.</w:t>
            </w:r>
          </w:p>
        </w:tc>
      </w:tr>
      <w:tr w:rsidR="000127D3" w:rsidTr="000127D3">
        <w:tc>
          <w:tcPr>
            <w:tcW w:w="9356" w:type="dxa"/>
          </w:tcPr>
          <w:p w:rsidR="000127D3" w:rsidRPr="00E64749" w:rsidRDefault="000127D3" w:rsidP="00D76196">
            <w:pPr>
              <w:pStyle w:val="Kopfzeile"/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</w:p>
        </w:tc>
      </w:tr>
      <w:tr w:rsidR="00E64749" w:rsidTr="000127D3">
        <w:tc>
          <w:tcPr>
            <w:tcW w:w="9356" w:type="dxa"/>
          </w:tcPr>
          <w:p w:rsidR="00356FCB" w:rsidRDefault="00356FCB" w:rsidP="00356FCB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Welches ist die zentrale Aufgabe der Gewerkschaft </w:t>
            </w:r>
            <w:proofErr w:type="spellStart"/>
            <w:r>
              <w:rPr>
                <w:rFonts w:ascii="Arial" w:hAnsi="Arial"/>
                <w:sz w:val="20"/>
              </w:rPr>
              <w:t>Unia</w:t>
            </w:r>
            <w:proofErr w:type="spellEnd"/>
            <w:r>
              <w:rPr>
                <w:rFonts w:ascii="Arial" w:hAnsi="Arial"/>
                <w:sz w:val="20"/>
              </w:rPr>
              <w:t>?</w:t>
            </w:r>
          </w:p>
          <w:p w:rsidR="00161B03" w:rsidRDefault="00161B03" w:rsidP="00161B03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  <w:p w:rsidR="0011371C" w:rsidRPr="00161B03" w:rsidRDefault="00161B03" w:rsidP="00356FCB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4"/>
                <w:szCs w:val="24"/>
              </w:rPr>
            </w:pPr>
            <w:r w:rsidRPr="00161B03">
              <w:rPr>
                <w:rFonts w:ascii="Arial" w:hAnsi="Arial"/>
                <w:b/>
                <w:sz w:val="20"/>
                <w:szCs w:val="24"/>
              </w:rPr>
              <w:t>Sie ist eine branchenübergreifende Organisation, welche sich für die Interessen ihrer Mi</w:t>
            </w:r>
            <w:r w:rsidRPr="00161B03">
              <w:rPr>
                <w:rFonts w:ascii="Arial" w:hAnsi="Arial"/>
                <w:b/>
                <w:sz w:val="20"/>
                <w:szCs w:val="24"/>
              </w:rPr>
              <w:t>t</w:t>
            </w:r>
            <w:r>
              <w:rPr>
                <w:rFonts w:ascii="Arial" w:hAnsi="Arial"/>
                <w:b/>
                <w:sz w:val="20"/>
                <w:szCs w:val="24"/>
              </w:rPr>
              <w:t>glieder (</w:t>
            </w:r>
            <w:proofErr w:type="spellStart"/>
            <w:r>
              <w:rPr>
                <w:rFonts w:ascii="Arial" w:hAnsi="Arial"/>
                <w:b/>
                <w:sz w:val="20"/>
                <w:szCs w:val="24"/>
              </w:rPr>
              <w:t>ArbeitnehmerInnen</w:t>
            </w:r>
            <w:proofErr w:type="spellEnd"/>
            <w:r w:rsidRPr="00161B03">
              <w:rPr>
                <w:rFonts w:ascii="Arial" w:hAnsi="Arial"/>
                <w:b/>
                <w:sz w:val="20"/>
                <w:szCs w:val="24"/>
              </w:rPr>
              <w:t>) einsetzt.</w:t>
            </w:r>
          </w:p>
        </w:tc>
      </w:tr>
      <w:tr w:rsidR="00E64749" w:rsidTr="000127D3">
        <w:tc>
          <w:tcPr>
            <w:tcW w:w="9356" w:type="dxa"/>
          </w:tcPr>
          <w:p w:rsidR="00E64749" w:rsidRDefault="00E64749" w:rsidP="00D76196">
            <w:pPr>
              <w:pStyle w:val="Kopfzeile"/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</w:p>
        </w:tc>
      </w:tr>
      <w:tr w:rsidR="00AB69DE" w:rsidTr="000127D3">
        <w:tc>
          <w:tcPr>
            <w:tcW w:w="9356" w:type="dxa"/>
          </w:tcPr>
          <w:p w:rsidR="00356FCB" w:rsidRPr="008853AA" w:rsidRDefault="00356FCB" w:rsidP="00356FCB">
            <w:pPr>
              <w:pStyle w:val="Listenabsatz"/>
              <w:numPr>
                <w:ilvl w:val="0"/>
                <w:numId w:val="17"/>
              </w:numPr>
              <w:ind w:left="426" w:hanging="42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Welches sind die Befürchtungen des Gewerkschafters Schwarzer, falls die neue Technologie im grossen Stil eingesetzt würde?</w:t>
            </w:r>
          </w:p>
          <w:p w:rsidR="008853AA" w:rsidRPr="00C13C38" w:rsidRDefault="008853AA" w:rsidP="008853AA">
            <w:pPr>
              <w:pStyle w:val="Listenabsatz"/>
              <w:ind w:left="426"/>
              <w:rPr>
                <w:rFonts w:ascii="Arial" w:hAnsi="Arial"/>
                <w:b/>
                <w:i/>
                <w:sz w:val="20"/>
              </w:rPr>
            </w:pPr>
          </w:p>
          <w:p w:rsidR="008853AA" w:rsidRDefault="008853AA" w:rsidP="00356FCB">
            <w:pPr>
              <w:pStyle w:val="Listenabsatz"/>
              <w:ind w:left="426"/>
              <w:rPr>
                <w:rFonts w:ascii="Arial" w:hAnsi="Arial"/>
                <w:b/>
                <w:sz w:val="20"/>
              </w:rPr>
            </w:pPr>
            <w:r w:rsidRPr="008853AA">
              <w:rPr>
                <w:rFonts w:ascii="Arial" w:hAnsi="Arial"/>
                <w:b/>
                <w:sz w:val="20"/>
              </w:rPr>
              <w:t xml:space="preserve">Dass viele Arbeitsplätze im Detailhandel verloren gehen. Er glaubt nicht an die Prognose des Trendforschers, wonach die nicht mehr benötigten Mitarbeitenden andere, dafür </w:t>
            </w:r>
          </w:p>
          <w:p w:rsidR="00AB69DE" w:rsidRPr="008853AA" w:rsidRDefault="008853AA" w:rsidP="00356FCB">
            <w:pPr>
              <w:pStyle w:val="Listenabsatz"/>
              <w:ind w:left="426"/>
              <w:rPr>
                <w:rFonts w:ascii="Arial" w:hAnsi="Arial"/>
                <w:b/>
                <w:sz w:val="24"/>
                <w:szCs w:val="24"/>
              </w:rPr>
            </w:pPr>
            <w:r w:rsidRPr="008853AA">
              <w:rPr>
                <w:rFonts w:ascii="Arial" w:hAnsi="Arial"/>
                <w:b/>
                <w:sz w:val="20"/>
              </w:rPr>
              <w:t>interessantere T</w:t>
            </w:r>
            <w:r w:rsidRPr="008853AA">
              <w:rPr>
                <w:rFonts w:ascii="Arial" w:hAnsi="Arial"/>
                <w:b/>
                <w:sz w:val="20"/>
              </w:rPr>
              <w:t>ä</w:t>
            </w:r>
            <w:r w:rsidRPr="008853AA">
              <w:rPr>
                <w:rFonts w:ascii="Arial" w:hAnsi="Arial"/>
                <w:b/>
                <w:sz w:val="20"/>
              </w:rPr>
              <w:t>tigkeiten ausüben werden.</w:t>
            </w:r>
          </w:p>
        </w:tc>
      </w:tr>
      <w:tr w:rsidR="00AB69DE" w:rsidTr="000127D3">
        <w:tc>
          <w:tcPr>
            <w:tcW w:w="9356" w:type="dxa"/>
          </w:tcPr>
          <w:p w:rsidR="00AB69DE" w:rsidRPr="00AB69DE" w:rsidRDefault="00AB69DE" w:rsidP="00AB69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B69DE" w:rsidTr="000127D3">
        <w:tc>
          <w:tcPr>
            <w:tcW w:w="9356" w:type="dxa"/>
          </w:tcPr>
          <w:p w:rsidR="00356FCB" w:rsidRDefault="00356FCB" w:rsidP="00356FCB">
            <w:pPr>
              <w:pStyle w:val="Listenabsatz"/>
              <w:numPr>
                <w:ilvl w:val="0"/>
                <w:numId w:val="18"/>
              </w:num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welchem Zielkonflikt befinden sich die grossen Detailhändler wie Migros und Coop?</w:t>
            </w:r>
          </w:p>
          <w:p w:rsidR="008853AA" w:rsidRDefault="008853AA" w:rsidP="008853AA">
            <w:pPr>
              <w:pStyle w:val="Listenabsatz"/>
              <w:ind w:left="426"/>
              <w:rPr>
                <w:rFonts w:ascii="Arial" w:hAnsi="Arial"/>
                <w:sz w:val="20"/>
              </w:rPr>
            </w:pPr>
          </w:p>
          <w:p w:rsidR="00AB69DE" w:rsidRPr="008853AA" w:rsidRDefault="008853AA" w:rsidP="008853AA">
            <w:pPr>
              <w:pStyle w:val="Listenabsatz"/>
              <w:ind w:left="426"/>
              <w:rPr>
                <w:rFonts w:ascii="Arial" w:hAnsi="Arial"/>
                <w:b/>
                <w:sz w:val="20"/>
              </w:rPr>
            </w:pPr>
            <w:r w:rsidRPr="008853AA">
              <w:rPr>
                <w:rFonts w:ascii="Arial" w:hAnsi="Arial"/>
                <w:b/>
                <w:sz w:val="20"/>
              </w:rPr>
              <w:t>Auf der einen Seite müssen sie Kosten einsparen, damit sie konkurrenzfähig bleiben und die Verkaufspreise für die Kunden attraktiv sind. Das geht aber auf Kosten der Mitarbeite</w:t>
            </w:r>
            <w:r w:rsidRPr="008853AA">
              <w:rPr>
                <w:rFonts w:ascii="Arial" w:hAnsi="Arial"/>
                <w:b/>
                <w:sz w:val="20"/>
              </w:rPr>
              <w:t>n</w:t>
            </w:r>
            <w:r>
              <w:rPr>
                <w:rFonts w:ascii="Arial" w:hAnsi="Arial"/>
                <w:b/>
                <w:sz w:val="20"/>
              </w:rPr>
              <w:t xml:space="preserve">den, weil </w:t>
            </w:r>
            <w:r w:rsidRPr="008853AA">
              <w:rPr>
                <w:rFonts w:ascii="Arial" w:hAnsi="Arial"/>
                <w:b/>
                <w:sz w:val="20"/>
              </w:rPr>
              <w:t>bei den Löhnen am ehesten Kosten eingespart werden können.</w:t>
            </w:r>
            <w:r w:rsidRPr="008853AA">
              <w:rPr>
                <w:rFonts w:ascii="Arial" w:hAnsi="Arial"/>
                <w:b/>
                <w:sz w:val="20"/>
              </w:rPr>
              <w:t xml:space="preserve"> </w:t>
            </w:r>
            <w:r w:rsidRPr="008853AA">
              <w:rPr>
                <w:rFonts w:ascii="Arial" w:hAnsi="Arial"/>
                <w:b/>
                <w:sz w:val="20"/>
              </w:rPr>
              <w:t>Auf der anderen Seite möchte man ein attraktiver und sozialer Arbeitgeber sein, der gute Löhne und sichere Arbeitsplätze bietet.</w:t>
            </w:r>
          </w:p>
        </w:tc>
      </w:tr>
    </w:tbl>
    <w:p w:rsidR="00E32E23" w:rsidRDefault="00E32E23" w:rsidP="008853AA">
      <w:pPr>
        <w:rPr>
          <w:rFonts w:ascii="Arial" w:hAnsi="Arial"/>
          <w:b/>
          <w:i/>
          <w:sz w:val="20"/>
        </w:rPr>
      </w:pPr>
      <w:bookmarkStart w:id="0" w:name="_GoBack"/>
      <w:bookmarkEnd w:id="0"/>
    </w:p>
    <w:sectPr w:rsidR="00E32E23" w:rsidSect="001467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46" w:rsidRDefault="00D80246">
      <w:r>
        <w:separator/>
      </w:r>
    </w:p>
  </w:endnote>
  <w:endnote w:type="continuationSeparator" w:id="0">
    <w:p w:rsidR="00D80246" w:rsidRDefault="00D8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664E04" w:rsidRPr="00E231F5" w:rsidTr="00A47B59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664E04" w:rsidRPr="00E231F5" w:rsidRDefault="00664E04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664E04" w:rsidRPr="00E231F5" w:rsidRDefault="00664E04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664E04" w:rsidRPr="00E231F5" w:rsidRDefault="004318F3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664E04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853A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664E04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8853AA">
            <w:fldChar w:fldCharType="begin"/>
          </w:r>
          <w:r w:rsidR="008853AA">
            <w:instrText xml:space="preserve"> NUMPAGES   \* MERGEFORMAT </w:instrText>
          </w:r>
          <w:r w:rsidR="008853AA">
            <w:fldChar w:fldCharType="separate"/>
          </w:r>
          <w:r w:rsidR="008853AA" w:rsidRPr="008853A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8853AA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664E04" w:rsidRDefault="00664E04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DDD9C3" w:themeFill="background2" w:themeFillShade="E6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664E04" w:rsidRPr="00E231F5" w:rsidTr="004F1B50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664E04" w:rsidRPr="00E231F5" w:rsidRDefault="00664E04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664E04" w:rsidRPr="00E231F5" w:rsidRDefault="00664E04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664E04" w:rsidRPr="00E231F5" w:rsidRDefault="004318F3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664E04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853A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664E04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8853AA">
            <w:fldChar w:fldCharType="begin"/>
          </w:r>
          <w:r w:rsidR="008853AA">
            <w:instrText xml:space="preserve"> NUMPAGES   \* MERGEFORMAT </w:instrText>
          </w:r>
          <w:r w:rsidR="008853AA">
            <w:fldChar w:fldCharType="separate"/>
          </w:r>
          <w:r w:rsidR="008853AA" w:rsidRPr="008853A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8853AA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664E04" w:rsidRDefault="00664E04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46" w:rsidRDefault="00D80246">
      <w:r>
        <w:separator/>
      </w:r>
    </w:p>
  </w:footnote>
  <w:footnote w:type="continuationSeparator" w:id="0">
    <w:p w:rsidR="00D80246" w:rsidRDefault="00D80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664E04" w:rsidTr="00A47B59">
      <w:trPr>
        <w:trHeight w:hRule="exact" w:val="227"/>
      </w:trPr>
      <w:tc>
        <w:tcPr>
          <w:tcW w:w="9356" w:type="dxa"/>
          <w:gridSpan w:val="3"/>
        </w:tcPr>
        <w:p w:rsidR="00664E04" w:rsidRPr="008103E2" w:rsidRDefault="00664E04" w:rsidP="00A47B59">
          <w:pPr>
            <w:pStyle w:val="Kopfzeile"/>
            <w:rPr>
              <w:rFonts w:ascii="Arial" w:hAnsi="Arial"/>
              <w:sz w:val="20"/>
            </w:rPr>
          </w:pPr>
        </w:p>
      </w:tc>
    </w:tr>
    <w:tr w:rsidR="00664E04" w:rsidTr="00A47B59">
      <w:trPr>
        <w:trHeight w:hRule="exact" w:val="567"/>
      </w:trPr>
      <w:tc>
        <w:tcPr>
          <w:tcW w:w="3932" w:type="dxa"/>
          <w:vMerge w:val="restart"/>
        </w:tcPr>
        <w:p w:rsidR="00664E04" w:rsidRDefault="00B169FE" w:rsidP="00A47B5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8B54D78" wp14:editId="7E69A7FE">
                <wp:extent cx="2412000" cy="613271"/>
                <wp:effectExtent l="0" t="0" r="762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664E04" w:rsidRDefault="00664E04" w:rsidP="00A47B59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664E04" w:rsidRPr="002D01FD" w:rsidRDefault="00664E04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1</w:t>
          </w:r>
        </w:p>
      </w:tc>
    </w:tr>
    <w:tr w:rsidR="00664E04" w:rsidTr="00A47B59">
      <w:trPr>
        <w:trHeight w:hRule="exact" w:val="397"/>
      </w:trPr>
      <w:tc>
        <w:tcPr>
          <w:tcW w:w="3932" w:type="dxa"/>
          <w:vMerge/>
        </w:tcPr>
        <w:p w:rsidR="00664E04" w:rsidRDefault="00664E04" w:rsidP="00A47B5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664E04" w:rsidRDefault="00664E04" w:rsidP="00A47B59">
          <w:pPr>
            <w:pStyle w:val="Kopfzeile"/>
          </w:pPr>
        </w:p>
      </w:tc>
      <w:tc>
        <w:tcPr>
          <w:tcW w:w="3618" w:type="dxa"/>
          <w:vAlign w:val="bottom"/>
        </w:tcPr>
        <w:p w:rsidR="00664E04" w:rsidRPr="002D01FD" w:rsidRDefault="00664E04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664E04" w:rsidTr="00A47B59">
      <w:trPr>
        <w:trHeight w:hRule="exact" w:val="227"/>
      </w:trPr>
      <w:tc>
        <w:tcPr>
          <w:tcW w:w="9356" w:type="dxa"/>
          <w:gridSpan w:val="3"/>
        </w:tcPr>
        <w:p w:rsidR="00664E04" w:rsidRDefault="00664E04" w:rsidP="00A47B59">
          <w:pPr>
            <w:pStyle w:val="Kopfzeile"/>
          </w:pPr>
        </w:p>
      </w:tc>
    </w:tr>
    <w:tr w:rsidR="00664E04" w:rsidTr="00A47B59">
      <w:tc>
        <w:tcPr>
          <w:tcW w:w="9356" w:type="dxa"/>
          <w:gridSpan w:val="3"/>
          <w:shd w:val="clear" w:color="auto" w:fill="C7C0B9"/>
          <w:vAlign w:val="center"/>
        </w:tcPr>
        <w:p w:rsidR="00664E04" w:rsidRPr="00E53CA0" w:rsidRDefault="00664E04" w:rsidP="00A47B59">
          <w:pPr>
            <w:pStyle w:val="Kopfzeile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Detailhandel</w:t>
          </w:r>
          <w:r w:rsidR="009B7A3B">
            <w:rPr>
              <w:rFonts w:ascii="Arial" w:hAnsi="Arial"/>
              <w:b/>
              <w:sz w:val="20"/>
            </w:rPr>
            <w:t xml:space="preserve"> der Zukunft</w:t>
          </w:r>
        </w:p>
      </w:tc>
    </w:tr>
  </w:tbl>
  <w:p w:rsidR="00664E04" w:rsidRPr="00F0097F" w:rsidRDefault="00664E0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1872"/>
      <w:gridCol w:w="1746"/>
    </w:tblGrid>
    <w:tr w:rsidR="005034EC" w:rsidTr="00992D5E">
      <w:trPr>
        <w:trHeight w:val="227"/>
      </w:trPr>
      <w:tc>
        <w:tcPr>
          <w:tcW w:w="9356" w:type="dxa"/>
          <w:gridSpan w:val="6"/>
          <w:vAlign w:val="center"/>
        </w:tcPr>
        <w:p w:rsidR="005034EC" w:rsidRPr="00092BCF" w:rsidRDefault="005034EC" w:rsidP="00992D5E">
          <w:pPr>
            <w:pStyle w:val="Kopfzeile"/>
            <w:rPr>
              <w:rFonts w:ascii="Arial" w:hAnsi="Arial"/>
              <w:sz w:val="20"/>
            </w:rPr>
          </w:pPr>
        </w:p>
      </w:tc>
    </w:tr>
    <w:tr w:rsidR="005034EC" w:rsidTr="00992D5E">
      <w:trPr>
        <w:trHeight w:hRule="exact" w:val="567"/>
      </w:trPr>
      <w:tc>
        <w:tcPr>
          <w:tcW w:w="3932" w:type="dxa"/>
          <w:gridSpan w:val="3"/>
          <w:vMerge w:val="restart"/>
        </w:tcPr>
        <w:p w:rsidR="005034EC" w:rsidRDefault="005034EC" w:rsidP="00992D5E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7184897" wp14:editId="69A58A0A">
                <wp:extent cx="2412000" cy="613271"/>
                <wp:effectExtent l="0" t="0" r="762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5034EC" w:rsidRDefault="005034EC" w:rsidP="00992D5E">
          <w:pPr>
            <w:pStyle w:val="Kopfzeile"/>
          </w:pPr>
        </w:p>
        <w:p w:rsidR="005034EC" w:rsidRPr="0008046F" w:rsidRDefault="005034EC" w:rsidP="00992D5E">
          <w:pPr>
            <w:jc w:val="center"/>
          </w:pPr>
        </w:p>
      </w:tc>
      <w:tc>
        <w:tcPr>
          <w:tcW w:w="3618" w:type="dxa"/>
          <w:gridSpan w:val="2"/>
          <w:vAlign w:val="bottom"/>
        </w:tcPr>
        <w:p w:rsidR="005034EC" w:rsidRDefault="005034EC" w:rsidP="00AB757F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AB757F">
            <w:rPr>
              <w:rFonts w:ascii="Arial" w:hAnsi="Arial"/>
              <w:b/>
              <w:sz w:val="24"/>
              <w:szCs w:val="24"/>
            </w:rPr>
            <w:t>2</w:t>
          </w:r>
        </w:p>
        <w:p w:rsidR="001F00FF" w:rsidRPr="002D01FD" w:rsidRDefault="001F00FF" w:rsidP="00AB757F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5034EC" w:rsidTr="00992D5E">
      <w:trPr>
        <w:trHeight w:hRule="exact" w:val="397"/>
      </w:trPr>
      <w:tc>
        <w:tcPr>
          <w:tcW w:w="3932" w:type="dxa"/>
          <w:gridSpan w:val="3"/>
          <w:vMerge/>
        </w:tcPr>
        <w:p w:rsidR="005034EC" w:rsidRDefault="005034EC" w:rsidP="00992D5E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5034EC" w:rsidRDefault="005034EC" w:rsidP="00992D5E">
          <w:pPr>
            <w:pStyle w:val="Kopfzeile"/>
          </w:pPr>
        </w:p>
      </w:tc>
      <w:tc>
        <w:tcPr>
          <w:tcW w:w="3618" w:type="dxa"/>
          <w:gridSpan w:val="2"/>
          <w:vAlign w:val="bottom"/>
        </w:tcPr>
        <w:p w:rsidR="005034EC" w:rsidRPr="002D01FD" w:rsidRDefault="005034EC" w:rsidP="00992D5E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5034EC" w:rsidTr="00992D5E">
      <w:trPr>
        <w:trHeight w:hRule="exact" w:val="227"/>
      </w:trPr>
      <w:tc>
        <w:tcPr>
          <w:tcW w:w="9356" w:type="dxa"/>
          <w:gridSpan w:val="6"/>
        </w:tcPr>
        <w:p w:rsidR="005034EC" w:rsidRPr="00092BCF" w:rsidRDefault="005034EC" w:rsidP="00992D5E">
          <w:pPr>
            <w:pStyle w:val="Kopfzeile"/>
            <w:rPr>
              <w:rFonts w:ascii="Arial" w:hAnsi="Arial"/>
              <w:sz w:val="20"/>
            </w:rPr>
          </w:pPr>
        </w:p>
      </w:tc>
    </w:tr>
    <w:tr w:rsidR="005034EC" w:rsidTr="00992D5E">
      <w:trPr>
        <w:trHeight w:hRule="exact" w:val="227"/>
      </w:trPr>
      <w:tc>
        <w:tcPr>
          <w:tcW w:w="2762" w:type="dxa"/>
          <w:vMerge w:val="restart"/>
          <w:vAlign w:val="center"/>
        </w:tcPr>
        <w:p w:rsidR="005034EC" w:rsidRDefault="005034EC" w:rsidP="00992D5E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56659333" wp14:editId="11CCEA3D">
                <wp:extent cx="1663200" cy="93452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tailhandel_09_05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200" cy="9345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:rsidR="005034EC" w:rsidRDefault="005034EC" w:rsidP="00992D5E">
          <w:pPr>
            <w:pStyle w:val="Kopfzeile"/>
          </w:pPr>
        </w:p>
      </w:tc>
      <w:tc>
        <w:tcPr>
          <w:tcW w:w="4678" w:type="dxa"/>
          <w:gridSpan w:val="3"/>
          <w:shd w:val="clear" w:color="auto" w:fill="C7C0B9"/>
          <w:vAlign w:val="center"/>
        </w:tcPr>
        <w:p w:rsidR="005034EC" w:rsidRPr="002D01FD" w:rsidRDefault="005034EC" w:rsidP="00992D5E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Wirtschaft für Sek II</w:t>
          </w:r>
        </w:p>
      </w:tc>
      <w:tc>
        <w:tcPr>
          <w:tcW w:w="1746" w:type="dxa"/>
          <w:shd w:val="clear" w:color="auto" w:fill="C7C0B9"/>
          <w:vAlign w:val="center"/>
        </w:tcPr>
        <w:p w:rsidR="005034EC" w:rsidRPr="002D01FD" w:rsidRDefault="005034EC" w:rsidP="00992D5E">
          <w:pPr>
            <w:pStyle w:val="Kopfzeile"/>
            <w:jc w:val="right"/>
            <w:rPr>
              <w:rFonts w:ascii="Arial" w:hAnsi="Arial"/>
              <w:sz w:val="18"/>
              <w:szCs w:val="18"/>
            </w:rPr>
          </w:pPr>
        </w:p>
      </w:tc>
    </w:tr>
    <w:tr w:rsidR="005034EC" w:rsidTr="00992D5E">
      <w:trPr>
        <w:trHeight w:hRule="exact" w:val="454"/>
      </w:trPr>
      <w:tc>
        <w:tcPr>
          <w:tcW w:w="2762" w:type="dxa"/>
          <w:vMerge/>
        </w:tcPr>
        <w:p w:rsidR="005034EC" w:rsidRDefault="005034EC" w:rsidP="00992D5E">
          <w:pPr>
            <w:pStyle w:val="Kopfzeile"/>
          </w:pPr>
        </w:p>
      </w:tc>
      <w:tc>
        <w:tcPr>
          <w:tcW w:w="170" w:type="dxa"/>
          <w:vMerge/>
        </w:tcPr>
        <w:p w:rsidR="005034EC" w:rsidRDefault="005034EC" w:rsidP="00992D5E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bottom"/>
        </w:tcPr>
        <w:p w:rsidR="005034EC" w:rsidRPr="000354FE" w:rsidRDefault="005034EC" w:rsidP="00992D5E">
          <w:pPr>
            <w:pStyle w:val="Kopfzeile"/>
            <w:rPr>
              <w:rFonts w:ascii="Arial" w:hAnsi="Arial"/>
              <w:b/>
              <w:szCs w:val="22"/>
            </w:rPr>
          </w:pPr>
          <w:r w:rsidRPr="000354FE">
            <w:rPr>
              <w:rFonts w:ascii="Arial" w:hAnsi="Arial"/>
              <w:b/>
              <w:szCs w:val="22"/>
            </w:rPr>
            <w:t>Detailhandel der Zukunft</w:t>
          </w:r>
        </w:p>
      </w:tc>
    </w:tr>
    <w:tr w:rsidR="005034EC" w:rsidTr="005034EC">
      <w:trPr>
        <w:trHeight w:hRule="exact" w:val="811"/>
      </w:trPr>
      <w:tc>
        <w:tcPr>
          <w:tcW w:w="2762" w:type="dxa"/>
          <w:vMerge/>
        </w:tcPr>
        <w:p w:rsidR="005034EC" w:rsidRDefault="005034EC" w:rsidP="00992D5E">
          <w:pPr>
            <w:pStyle w:val="Kopfzeile"/>
          </w:pPr>
        </w:p>
      </w:tc>
      <w:tc>
        <w:tcPr>
          <w:tcW w:w="170" w:type="dxa"/>
          <w:vMerge/>
        </w:tcPr>
        <w:p w:rsidR="005034EC" w:rsidRDefault="005034EC" w:rsidP="00992D5E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</w:tcPr>
        <w:p w:rsidR="00CA346D" w:rsidRDefault="00CA346D" w:rsidP="00CA346D">
          <w:pPr>
            <w:tabs>
              <w:tab w:val="left" w:pos="3146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Technisierung des Detailhandels (ECO, 28.11.2011) 02:45 min</w:t>
          </w:r>
        </w:p>
        <w:p w:rsidR="005034EC" w:rsidRPr="00A1445C" w:rsidRDefault="00CA346D" w:rsidP="005034EC">
          <w:pPr>
            <w:tabs>
              <w:tab w:val="left" w:pos="3146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Das Ende der Kassierer? (ECO, 28.11.2011) 01:53 min</w:t>
          </w:r>
        </w:p>
      </w:tc>
    </w:tr>
  </w:tbl>
  <w:p w:rsidR="00664E04" w:rsidRPr="00F0097F" w:rsidRDefault="00664E0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2FC"/>
    <w:multiLevelType w:val="hybridMultilevel"/>
    <w:tmpl w:val="77D0D5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5B388D"/>
    <w:multiLevelType w:val="hybridMultilevel"/>
    <w:tmpl w:val="B816A232"/>
    <w:lvl w:ilvl="0" w:tplc="C4FC7B4C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AD2DED"/>
    <w:multiLevelType w:val="hybridMultilevel"/>
    <w:tmpl w:val="587290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01107"/>
    <w:multiLevelType w:val="hybridMultilevel"/>
    <w:tmpl w:val="A0F688C8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4015E"/>
    <w:multiLevelType w:val="hybridMultilevel"/>
    <w:tmpl w:val="33A22D18"/>
    <w:lvl w:ilvl="0" w:tplc="4DEE0C8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AD4F6A"/>
    <w:multiLevelType w:val="hybridMultilevel"/>
    <w:tmpl w:val="1308890C"/>
    <w:lvl w:ilvl="0" w:tplc="3222A0C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7"/>
  </w:num>
  <w:num w:numId="5">
    <w:abstractNumId w:val="16"/>
  </w:num>
  <w:num w:numId="6">
    <w:abstractNumId w:val="13"/>
  </w:num>
  <w:num w:numId="7">
    <w:abstractNumId w:val="5"/>
  </w:num>
  <w:num w:numId="8">
    <w:abstractNumId w:val="2"/>
  </w:num>
  <w:num w:numId="9">
    <w:abstractNumId w:val="15"/>
  </w:num>
  <w:num w:numId="10">
    <w:abstractNumId w:val="3"/>
  </w:num>
  <w:num w:numId="11">
    <w:abstractNumId w:val="8"/>
  </w:num>
  <w:num w:numId="12">
    <w:abstractNumId w:val="1"/>
  </w:num>
  <w:num w:numId="13">
    <w:abstractNumId w:val="14"/>
  </w:num>
  <w:num w:numId="14">
    <w:abstractNumId w:val="10"/>
  </w:num>
  <w:num w:numId="15">
    <w:abstractNumId w:val="11"/>
  </w:num>
  <w:num w:numId="16">
    <w:abstractNumId w:val="0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6348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D"/>
    <w:rsid w:val="00012008"/>
    <w:rsid w:val="000127D3"/>
    <w:rsid w:val="00013301"/>
    <w:rsid w:val="000305D1"/>
    <w:rsid w:val="00034C0B"/>
    <w:rsid w:val="000542A1"/>
    <w:rsid w:val="00054A08"/>
    <w:rsid w:val="00061923"/>
    <w:rsid w:val="0006345C"/>
    <w:rsid w:val="00065561"/>
    <w:rsid w:val="00070869"/>
    <w:rsid w:val="00070E33"/>
    <w:rsid w:val="000752ED"/>
    <w:rsid w:val="00084979"/>
    <w:rsid w:val="00085A93"/>
    <w:rsid w:val="00085CEA"/>
    <w:rsid w:val="00086C9A"/>
    <w:rsid w:val="00095393"/>
    <w:rsid w:val="000B1B25"/>
    <w:rsid w:val="000B7030"/>
    <w:rsid w:val="000B73FE"/>
    <w:rsid w:val="000C21CF"/>
    <w:rsid w:val="000F750F"/>
    <w:rsid w:val="00101A8C"/>
    <w:rsid w:val="00101BE1"/>
    <w:rsid w:val="0011371C"/>
    <w:rsid w:val="00114139"/>
    <w:rsid w:val="001176D3"/>
    <w:rsid w:val="00143CB8"/>
    <w:rsid w:val="00143D26"/>
    <w:rsid w:val="001467F6"/>
    <w:rsid w:val="00150F69"/>
    <w:rsid w:val="00161B03"/>
    <w:rsid w:val="00166279"/>
    <w:rsid w:val="00180A2A"/>
    <w:rsid w:val="00195A0E"/>
    <w:rsid w:val="001A3224"/>
    <w:rsid w:val="001B3C76"/>
    <w:rsid w:val="001B77E2"/>
    <w:rsid w:val="001F00FF"/>
    <w:rsid w:val="002049FF"/>
    <w:rsid w:val="002338AA"/>
    <w:rsid w:val="00233B2B"/>
    <w:rsid w:val="00233B90"/>
    <w:rsid w:val="00244868"/>
    <w:rsid w:val="00253F37"/>
    <w:rsid w:val="00255804"/>
    <w:rsid w:val="002558F8"/>
    <w:rsid w:val="00257F9B"/>
    <w:rsid w:val="0028586C"/>
    <w:rsid w:val="00291A61"/>
    <w:rsid w:val="002C4584"/>
    <w:rsid w:val="002C6B1D"/>
    <w:rsid w:val="002C6DBD"/>
    <w:rsid w:val="002D00AC"/>
    <w:rsid w:val="002E077C"/>
    <w:rsid w:val="002E4986"/>
    <w:rsid w:val="00323D0D"/>
    <w:rsid w:val="00330A77"/>
    <w:rsid w:val="003429F6"/>
    <w:rsid w:val="00356FCB"/>
    <w:rsid w:val="003601B9"/>
    <w:rsid w:val="0037009E"/>
    <w:rsid w:val="00380429"/>
    <w:rsid w:val="00384482"/>
    <w:rsid w:val="00386693"/>
    <w:rsid w:val="0039727A"/>
    <w:rsid w:val="003B7E23"/>
    <w:rsid w:val="003D3134"/>
    <w:rsid w:val="003D6D50"/>
    <w:rsid w:val="003E7FF0"/>
    <w:rsid w:val="003F6BE6"/>
    <w:rsid w:val="00410447"/>
    <w:rsid w:val="00415BC5"/>
    <w:rsid w:val="004318F3"/>
    <w:rsid w:val="0044097B"/>
    <w:rsid w:val="00442666"/>
    <w:rsid w:val="0044293F"/>
    <w:rsid w:val="00451D90"/>
    <w:rsid w:val="004554C2"/>
    <w:rsid w:val="00470262"/>
    <w:rsid w:val="0047151E"/>
    <w:rsid w:val="00480092"/>
    <w:rsid w:val="00485C23"/>
    <w:rsid w:val="00491FA5"/>
    <w:rsid w:val="00492EE6"/>
    <w:rsid w:val="00497544"/>
    <w:rsid w:val="00497702"/>
    <w:rsid w:val="004B0B5D"/>
    <w:rsid w:val="004B6E8A"/>
    <w:rsid w:val="004C3AF7"/>
    <w:rsid w:val="004D49D5"/>
    <w:rsid w:val="004D656E"/>
    <w:rsid w:val="004E0446"/>
    <w:rsid w:val="004E0B71"/>
    <w:rsid w:val="004E267D"/>
    <w:rsid w:val="004E5D66"/>
    <w:rsid w:val="004F1B50"/>
    <w:rsid w:val="004F712E"/>
    <w:rsid w:val="005034EC"/>
    <w:rsid w:val="005149F7"/>
    <w:rsid w:val="00516997"/>
    <w:rsid w:val="00530FAB"/>
    <w:rsid w:val="00543A6C"/>
    <w:rsid w:val="005503DB"/>
    <w:rsid w:val="0056227C"/>
    <w:rsid w:val="0058095E"/>
    <w:rsid w:val="00583D3E"/>
    <w:rsid w:val="005841F8"/>
    <w:rsid w:val="005850A5"/>
    <w:rsid w:val="00596284"/>
    <w:rsid w:val="005B2FF2"/>
    <w:rsid w:val="005B7135"/>
    <w:rsid w:val="005C6985"/>
    <w:rsid w:val="005D1E03"/>
    <w:rsid w:val="005D7D38"/>
    <w:rsid w:val="005F6BBF"/>
    <w:rsid w:val="00601ECB"/>
    <w:rsid w:val="00614018"/>
    <w:rsid w:val="00633DBC"/>
    <w:rsid w:val="006524D0"/>
    <w:rsid w:val="00661563"/>
    <w:rsid w:val="00664426"/>
    <w:rsid w:val="00664E04"/>
    <w:rsid w:val="00667D87"/>
    <w:rsid w:val="006765E0"/>
    <w:rsid w:val="006837EB"/>
    <w:rsid w:val="00695AC4"/>
    <w:rsid w:val="00696D22"/>
    <w:rsid w:val="006A0C06"/>
    <w:rsid w:val="006A3A72"/>
    <w:rsid w:val="006D1C8D"/>
    <w:rsid w:val="006E2F5F"/>
    <w:rsid w:val="006E6675"/>
    <w:rsid w:val="006E7C95"/>
    <w:rsid w:val="006F0AE2"/>
    <w:rsid w:val="0070285A"/>
    <w:rsid w:val="00702885"/>
    <w:rsid w:val="00724A6B"/>
    <w:rsid w:val="00725421"/>
    <w:rsid w:val="00727FA1"/>
    <w:rsid w:val="00766C9D"/>
    <w:rsid w:val="007710E0"/>
    <w:rsid w:val="0077253B"/>
    <w:rsid w:val="007726EF"/>
    <w:rsid w:val="007776A8"/>
    <w:rsid w:val="00790266"/>
    <w:rsid w:val="00793AB2"/>
    <w:rsid w:val="00796C17"/>
    <w:rsid w:val="007A52E9"/>
    <w:rsid w:val="007B0B1A"/>
    <w:rsid w:val="007B5612"/>
    <w:rsid w:val="007B615D"/>
    <w:rsid w:val="007C1254"/>
    <w:rsid w:val="007E4FEF"/>
    <w:rsid w:val="007F5172"/>
    <w:rsid w:val="008157D9"/>
    <w:rsid w:val="00825472"/>
    <w:rsid w:val="008338DE"/>
    <w:rsid w:val="00837C30"/>
    <w:rsid w:val="00854008"/>
    <w:rsid w:val="008638DA"/>
    <w:rsid w:val="008730DE"/>
    <w:rsid w:val="008750A5"/>
    <w:rsid w:val="008853AA"/>
    <w:rsid w:val="008B2AC2"/>
    <w:rsid w:val="008C13CF"/>
    <w:rsid w:val="008C2425"/>
    <w:rsid w:val="008C3464"/>
    <w:rsid w:val="008E4517"/>
    <w:rsid w:val="008E6883"/>
    <w:rsid w:val="008E6B2D"/>
    <w:rsid w:val="0090365D"/>
    <w:rsid w:val="00910E06"/>
    <w:rsid w:val="00931A69"/>
    <w:rsid w:val="009463F4"/>
    <w:rsid w:val="00973366"/>
    <w:rsid w:val="00975CC9"/>
    <w:rsid w:val="00976744"/>
    <w:rsid w:val="0098167D"/>
    <w:rsid w:val="00983443"/>
    <w:rsid w:val="0098392B"/>
    <w:rsid w:val="009949D4"/>
    <w:rsid w:val="009A2BBB"/>
    <w:rsid w:val="009B1364"/>
    <w:rsid w:val="009B30CD"/>
    <w:rsid w:val="009B7A3B"/>
    <w:rsid w:val="009C12F7"/>
    <w:rsid w:val="009C45EE"/>
    <w:rsid w:val="009E2D1C"/>
    <w:rsid w:val="009E7A31"/>
    <w:rsid w:val="009F16F3"/>
    <w:rsid w:val="00A120DD"/>
    <w:rsid w:val="00A130C7"/>
    <w:rsid w:val="00A306EE"/>
    <w:rsid w:val="00A30917"/>
    <w:rsid w:val="00A35130"/>
    <w:rsid w:val="00A427DC"/>
    <w:rsid w:val="00A44367"/>
    <w:rsid w:val="00A46D74"/>
    <w:rsid w:val="00A47B59"/>
    <w:rsid w:val="00A50A9F"/>
    <w:rsid w:val="00A51962"/>
    <w:rsid w:val="00A52B69"/>
    <w:rsid w:val="00A533BC"/>
    <w:rsid w:val="00A73E05"/>
    <w:rsid w:val="00A82058"/>
    <w:rsid w:val="00A82D35"/>
    <w:rsid w:val="00A97938"/>
    <w:rsid w:val="00AB0191"/>
    <w:rsid w:val="00AB69DE"/>
    <w:rsid w:val="00AB757F"/>
    <w:rsid w:val="00AB76C5"/>
    <w:rsid w:val="00AC4249"/>
    <w:rsid w:val="00AC6957"/>
    <w:rsid w:val="00AF60CF"/>
    <w:rsid w:val="00B008FF"/>
    <w:rsid w:val="00B0398C"/>
    <w:rsid w:val="00B07FF4"/>
    <w:rsid w:val="00B169FE"/>
    <w:rsid w:val="00B179D8"/>
    <w:rsid w:val="00B27228"/>
    <w:rsid w:val="00B31E92"/>
    <w:rsid w:val="00B34CB3"/>
    <w:rsid w:val="00B45A96"/>
    <w:rsid w:val="00B4742B"/>
    <w:rsid w:val="00B53642"/>
    <w:rsid w:val="00B55FEF"/>
    <w:rsid w:val="00B63CB0"/>
    <w:rsid w:val="00B64311"/>
    <w:rsid w:val="00B87E56"/>
    <w:rsid w:val="00BA620B"/>
    <w:rsid w:val="00BB2564"/>
    <w:rsid w:val="00BB5BC5"/>
    <w:rsid w:val="00BC5948"/>
    <w:rsid w:val="00BC7FD9"/>
    <w:rsid w:val="00BE7911"/>
    <w:rsid w:val="00BF26B5"/>
    <w:rsid w:val="00BF7FC2"/>
    <w:rsid w:val="00C053BF"/>
    <w:rsid w:val="00C06F30"/>
    <w:rsid w:val="00C11D92"/>
    <w:rsid w:val="00C15202"/>
    <w:rsid w:val="00C313CB"/>
    <w:rsid w:val="00C326C3"/>
    <w:rsid w:val="00C33582"/>
    <w:rsid w:val="00C37145"/>
    <w:rsid w:val="00C43BF6"/>
    <w:rsid w:val="00C52408"/>
    <w:rsid w:val="00C52C83"/>
    <w:rsid w:val="00C65946"/>
    <w:rsid w:val="00C66CEA"/>
    <w:rsid w:val="00C712A2"/>
    <w:rsid w:val="00C75C8B"/>
    <w:rsid w:val="00C87F25"/>
    <w:rsid w:val="00C925BD"/>
    <w:rsid w:val="00C97378"/>
    <w:rsid w:val="00CA346D"/>
    <w:rsid w:val="00CA632C"/>
    <w:rsid w:val="00CA6BFD"/>
    <w:rsid w:val="00CB15CC"/>
    <w:rsid w:val="00CB26E5"/>
    <w:rsid w:val="00CB2E4A"/>
    <w:rsid w:val="00CB352B"/>
    <w:rsid w:val="00CB5C14"/>
    <w:rsid w:val="00CD29B6"/>
    <w:rsid w:val="00CD5FC0"/>
    <w:rsid w:val="00CE0655"/>
    <w:rsid w:val="00CE62FC"/>
    <w:rsid w:val="00CF13C9"/>
    <w:rsid w:val="00CF3C30"/>
    <w:rsid w:val="00CF6166"/>
    <w:rsid w:val="00D02B53"/>
    <w:rsid w:val="00D06954"/>
    <w:rsid w:val="00D14C39"/>
    <w:rsid w:val="00D17217"/>
    <w:rsid w:val="00D23902"/>
    <w:rsid w:val="00D34455"/>
    <w:rsid w:val="00D37D9B"/>
    <w:rsid w:val="00D40DCD"/>
    <w:rsid w:val="00D41A91"/>
    <w:rsid w:val="00D42245"/>
    <w:rsid w:val="00D63BB7"/>
    <w:rsid w:val="00D74C30"/>
    <w:rsid w:val="00D76196"/>
    <w:rsid w:val="00D80246"/>
    <w:rsid w:val="00D80548"/>
    <w:rsid w:val="00D94E4B"/>
    <w:rsid w:val="00DA6E1D"/>
    <w:rsid w:val="00DB2CB8"/>
    <w:rsid w:val="00DB3140"/>
    <w:rsid w:val="00DC13CC"/>
    <w:rsid w:val="00DD166A"/>
    <w:rsid w:val="00DE57F4"/>
    <w:rsid w:val="00DE599F"/>
    <w:rsid w:val="00E0074C"/>
    <w:rsid w:val="00E25EBF"/>
    <w:rsid w:val="00E311EC"/>
    <w:rsid w:val="00E32E23"/>
    <w:rsid w:val="00E35905"/>
    <w:rsid w:val="00E55362"/>
    <w:rsid w:val="00E64749"/>
    <w:rsid w:val="00E647A1"/>
    <w:rsid w:val="00E6586B"/>
    <w:rsid w:val="00E66FF5"/>
    <w:rsid w:val="00E93606"/>
    <w:rsid w:val="00E936C7"/>
    <w:rsid w:val="00EA1D38"/>
    <w:rsid w:val="00EA3E38"/>
    <w:rsid w:val="00EA4561"/>
    <w:rsid w:val="00EA73F2"/>
    <w:rsid w:val="00EB571C"/>
    <w:rsid w:val="00EC5921"/>
    <w:rsid w:val="00ED0463"/>
    <w:rsid w:val="00ED4DF3"/>
    <w:rsid w:val="00EE01AC"/>
    <w:rsid w:val="00EE6841"/>
    <w:rsid w:val="00EE77E0"/>
    <w:rsid w:val="00EF6A64"/>
    <w:rsid w:val="00EF6B03"/>
    <w:rsid w:val="00F0097F"/>
    <w:rsid w:val="00F04F84"/>
    <w:rsid w:val="00F13473"/>
    <w:rsid w:val="00F13E2B"/>
    <w:rsid w:val="00F16CD2"/>
    <w:rsid w:val="00F25022"/>
    <w:rsid w:val="00F31C4B"/>
    <w:rsid w:val="00F464DD"/>
    <w:rsid w:val="00F547CC"/>
    <w:rsid w:val="00F6737F"/>
    <w:rsid w:val="00F92083"/>
    <w:rsid w:val="00FB168D"/>
    <w:rsid w:val="00FC189D"/>
    <w:rsid w:val="00FC199E"/>
    <w:rsid w:val="00FC6FFB"/>
    <w:rsid w:val="00FD6C6E"/>
    <w:rsid w:val="00FF03D8"/>
    <w:rsid w:val="00FF0E57"/>
    <w:rsid w:val="00FF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70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6664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6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46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2440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hsst\Documents\Vorlagen\Vorlage%20Didaktische%20Hinweise%20Filmreih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DDB4-6BC1-4F8E-B6B8-A777CA05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Didaktische Hinweise Filmreihe.dotx</Template>
  <TotalTime>0</TotalTime>
  <Pages>1</Pages>
  <Words>350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2465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Trachsler, Stefanie</dc:creator>
  <cp:lastModifiedBy>Marriott, Steven</cp:lastModifiedBy>
  <cp:revision>8</cp:revision>
  <cp:lastPrinted>2012-11-09T14:08:00Z</cp:lastPrinted>
  <dcterms:created xsi:type="dcterms:W3CDTF">2013-01-29T14:59:00Z</dcterms:created>
  <dcterms:modified xsi:type="dcterms:W3CDTF">2013-01-29T15:07:00Z</dcterms:modified>
  <cp:category>Zuma Vorlage phe</cp:category>
</cp:coreProperties>
</file>