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RPr="00A63A92" w:rsidTr="000127D3">
        <w:tc>
          <w:tcPr>
            <w:tcW w:w="9356" w:type="dxa"/>
          </w:tcPr>
          <w:p w:rsidR="00D76196" w:rsidRPr="00A63A92" w:rsidRDefault="00D76196">
            <w:pPr>
              <w:pStyle w:val="Kopfzeile"/>
              <w:tabs>
                <w:tab w:val="clear" w:pos="4536"/>
                <w:tab w:val="clear" w:pos="9072"/>
              </w:tabs>
              <w:rPr>
                <w:rFonts w:ascii="Arial" w:hAnsi="Arial"/>
                <w:b/>
                <w:sz w:val="20"/>
              </w:rPr>
            </w:pPr>
          </w:p>
        </w:tc>
      </w:tr>
      <w:tr w:rsidR="000127D3" w:rsidRPr="00A63A92" w:rsidTr="00BF7C8D">
        <w:tc>
          <w:tcPr>
            <w:tcW w:w="9356" w:type="dxa"/>
          </w:tcPr>
          <w:p w:rsidR="00567AD9" w:rsidRDefault="00C474D0" w:rsidP="00567AD9">
            <w:pPr>
              <w:pStyle w:val="Kopfzeile"/>
              <w:numPr>
                <w:ilvl w:val="0"/>
                <w:numId w:val="15"/>
              </w:numPr>
              <w:ind w:left="426" w:hanging="426"/>
              <w:rPr>
                <w:rFonts w:ascii="Arial" w:hAnsi="Arial"/>
                <w:sz w:val="20"/>
              </w:rPr>
            </w:pPr>
            <w:r w:rsidRPr="00A63A92">
              <w:rPr>
                <w:rFonts w:ascii="Arial" w:hAnsi="Arial"/>
                <w:sz w:val="20"/>
              </w:rPr>
              <w:t xml:space="preserve">Studieren Sie </w:t>
            </w:r>
            <w:r w:rsidR="00A63A92" w:rsidRPr="00A63A92">
              <w:rPr>
                <w:rFonts w:ascii="Arial" w:hAnsi="Arial"/>
                <w:sz w:val="20"/>
              </w:rPr>
              <w:t xml:space="preserve">den </w:t>
            </w:r>
            <w:r w:rsidRPr="00A63A92">
              <w:rPr>
                <w:rFonts w:ascii="Arial" w:hAnsi="Arial"/>
                <w:sz w:val="20"/>
              </w:rPr>
              <w:t>Auszug aus dem</w:t>
            </w:r>
            <w:r w:rsidR="00A63A92" w:rsidRPr="00A63A92">
              <w:rPr>
                <w:rFonts w:ascii="Arial" w:hAnsi="Arial"/>
                <w:sz w:val="20"/>
              </w:rPr>
              <w:t xml:space="preserve"> «</w:t>
            </w:r>
            <w:r w:rsidRPr="00A63A92">
              <w:rPr>
                <w:rFonts w:ascii="Arial" w:hAnsi="Arial"/>
                <w:sz w:val="20"/>
              </w:rPr>
              <w:t>Reglement der Swiss Football League (SFL) für die Lizenze</w:t>
            </w:r>
            <w:r w:rsidRPr="00A63A92">
              <w:rPr>
                <w:rFonts w:ascii="Arial" w:hAnsi="Arial"/>
                <w:sz w:val="20"/>
              </w:rPr>
              <w:t>r</w:t>
            </w:r>
            <w:r w:rsidRPr="00A63A92">
              <w:rPr>
                <w:rFonts w:ascii="Arial" w:hAnsi="Arial"/>
                <w:sz w:val="20"/>
              </w:rPr>
              <w:t>teilung» auf der Rückseite dieses Arbeitsblatts.</w:t>
            </w:r>
            <w:r w:rsidR="00692287" w:rsidRPr="00A63A92">
              <w:rPr>
                <w:rFonts w:ascii="Arial" w:hAnsi="Arial"/>
                <w:sz w:val="20"/>
              </w:rPr>
              <w:t xml:space="preserve"> Markieren Sie unklare Begriffe.</w:t>
            </w:r>
          </w:p>
          <w:p w:rsidR="00BF7C8D" w:rsidRDefault="00BF7C8D" w:rsidP="00BF7C8D">
            <w:pPr>
              <w:pStyle w:val="Kopfzeile"/>
              <w:ind w:left="426"/>
              <w:rPr>
                <w:rFonts w:ascii="Arial" w:hAnsi="Arial"/>
                <w:sz w:val="20"/>
              </w:rPr>
            </w:pPr>
          </w:p>
          <w:p w:rsidR="00BF7C8D" w:rsidRPr="00BF7C8D" w:rsidRDefault="00BF7C8D" w:rsidP="00BF7C8D">
            <w:pPr>
              <w:pStyle w:val="Kopfzeile"/>
              <w:ind w:left="426"/>
              <w:rPr>
                <w:rFonts w:ascii="Arial" w:hAnsi="Arial"/>
                <w:b/>
                <w:sz w:val="20"/>
              </w:rPr>
            </w:pPr>
            <w:r w:rsidRPr="00BF7C8D">
              <w:rPr>
                <w:rFonts w:ascii="Arial" w:hAnsi="Arial"/>
                <w:b/>
                <w:sz w:val="20"/>
              </w:rPr>
              <w:t>Individuelle Antworten</w:t>
            </w:r>
          </w:p>
        </w:tc>
      </w:tr>
      <w:tr w:rsidR="000127D3" w:rsidRPr="00A63A92" w:rsidTr="000127D3">
        <w:tc>
          <w:tcPr>
            <w:tcW w:w="9356" w:type="dxa"/>
          </w:tcPr>
          <w:p w:rsidR="000127D3" w:rsidRPr="00A63A92" w:rsidRDefault="00D413D7" w:rsidP="00442666">
            <w:pPr>
              <w:pStyle w:val="Kopfzeile"/>
              <w:tabs>
                <w:tab w:val="clear" w:pos="4536"/>
                <w:tab w:val="clear" w:pos="9072"/>
              </w:tabs>
              <w:rPr>
                <w:rFonts w:ascii="Arial" w:hAnsi="Arial"/>
                <w:sz w:val="20"/>
              </w:rPr>
            </w:pPr>
            <w:r>
              <w:rPr>
                <w:rFonts w:ascii="Arial" w:hAnsi="Arial"/>
                <w:sz w:val="20"/>
              </w:rPr>
              <w:br/>
            </w:r>
          </w:p>
        </w:tc>
      </w:tr>
      <w:tr w:rsidR="000127D3" w:rsidRPr="00A63A92" w:rsidTr="000127D3">
        <w:tc>
          <w:tcPr>
            <w:tcW w:w="9356" w:type="dxa"/>
          </w:tcPr>
          <w:p w:rsidR="00567AD9" w:rsidRDefault="00692287" w:rsidP="00F40C06">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Welche Bedeutung hat das «Deponieren der Bilanz» durch </w:t>
            </w:r>
            <w:proofErr w:type="spellStart"/>
            <w:r w:rsidRPr="00A63A92">
              <w:rPr>
                <w:rFonts w:ascii="Arial" w:hAnsi="Arial"/>
                <w:sz w:val="20"/>
              </w:rPr>
              <w:t>Xamax</w:t>
            </w:r>
            <w:proofErr w:type="spellEnd"/>
            <w:r w:rsidR="000127D3" w:rsidRPr="00A63A92">
              <w:rPr>
                <w:rFonts w:ascii="Arial" w:hAnsi="Arial"/>
                <w:sz w:val="20"/>
              </w:rPr>
              <w:t xml:space="preserve">? </w:t>
            </w:r>
          </w:p>
          <w:p w:rsidR="000127D3" w:rsidRPr="00F40C06" w:rsidRDefault="00F40C06" w:rsidP="00567AD9">
            <w:pPr>
              <w:pStyle w:val="Kopfzeile"/>
              <w:tabs>
                <w:tab w:val="clear" w:pos="4536"/>
                <w:tab w:val="clear" w:pos="9072"/>
              </w:tabs>
              <w:ind w:left="426"/>
              <w:rPr>
                <w:rFonts w:ascii="Arial" w:hAnsi="Arial"/>
                <w:sz w:val="20"/>
              </w:rPr>
            </w:pPr>
            <w:r>
              <w:rPr>
                <w:rFonts w:ascii="Arial" w:hAnsi="Arial"/>
                <w:sz w:val="20"/>
              </w:rPr>
              <w:br/>
            </w:r>
            <w:r w:rsidR="00567AD9" w:rsidRPr="00567AD9">
              <w:rPr>
                <w:rFonts w:ascii="Arial" w:hAnsi="Arial"/>
                <w:b/>
                <w:sz w:val="20"/>
                <w:szCs w:val="24"/>
              </w:rPr>
              <w:t xml:space="preserve">Es bedeutet, dass </w:t>
            </w:r>
            <w:proofErr w:type="spellStart"/>
            <w:r w:rsidR="00567AD9" w:rsidRPr="00567AD9">
              <w:rPr>
                <w:rFonts w:ascii="Arial" w:hAnsi="Arial"/>
                <w:b/>
                <w:sz w:val="20"/>
                <w:szCs w:val="24"/>
              </w:rPr>
              <w:t>Xamax</w:t>
            </w:r>
            <w:proofErr w:type="spellEnd"/>
            <w:r w:rsidR="00567AD9" w:rsidRPr="00567AD9">
              <w:rPr>
                <w:rFonts w:ascii="Arial" w:hAnsi="Arial"/>
                <w:b/>
                <w:sz w:val="20"/>
                <w:szCs w:val="24"/>
              </w:rPr>
              <w:t xml:space="preserve"> als Verein und Unternehmung übersc</w:t>
            </w:r>
            <w:r w:rsidR="00567AD9">
              <w:rPr>
                <w:rFonts w:ascii="Arial" w:hAnsi="Arial"/>
                <w:b/>
                <w:sz w:val="20"/>
                <w:szCs w:val="24"/>
              </w:rPr>
              <w:t xml:space="preserve">huldet und zahlungsunfähig ist. </w:t>
            </w:r>
            <w:r w:rsidR="00567AD9" w:rsidRPr="00567AD9">
              <w:rPr>
                <w:rFonts w:ascii="Arial" w:hAnsi="Arial"/>
                <w:b/>
                <w:sz w:val="20"/>
                <w:szCs w:val="24"/>
              </w:rPr>
              <w:t>Konkret bedeutet dies im schlimmsten Fall, dass die Gläubiger (Kapitalgeber wie z.B. Banken) ihr Geld verlieren.</w:t>
            </w:r>
          </w:p>
        </w:tc>
      </w:tr>
      <w:tr w:rsidR="000127D3" w:rsidRPr="00A63A92" w:rsidTr="000127D3">
        <w:tc>
          <w:tcPr>
            <w:tcW w:w="9356" w:type="dxa"/>
          </w:tcPr>
          <w:p w:rsidR="000127D3" w:rsidRPr="00A63A92" w:rsidRDefault="00D413D7" w:rsidP="00D76196">
            <w:pPr>
              <w:pStyle w:val="Kopfzeile"/>
              <w:tabs>
                <w:tab w:val="clear" w:pos="4536"/>
                <w:tab w:val="clear" w:pos="9072"/>
              </w:tabs>
              <w:ind w:left="426" w:hanging="426"/>
              <w:rPr>
                <w:rFonts w:ascii="Arial" w:hAnsi="Arial"/>
                <w:sz w:val="20"/>
              </w:rPr>
            </w:pPr>
            <w:r>
              <w:rPr>
                <w:rFonts w:ascii="Arial" w:hAnsi="Arial"/>
                <w:sz w:val="20"/>
              </w:rPr>
              <w:br/>
            </w:r>
          </w:p>
        </w:tc>
      </w:tr>
      <w:tr w:rsidR="000127D3" w:rsidRPr="00A63A92" w:rsidTr="000127D3">
        <w:tc>
          <w:tcPr>
            <w:tcW w:w="9356" w:type="dxa"/>
          </w:tcPr>
          <w:p w:rsidR="000127D3" w:rsidRDefault="00692287" w:rsidP="00567AD9">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Welche Kriterien aus dem Reglement der Swiss Football League hat </w:t>
            </w:r>
            <w:proofErr w:type="spellStart"/>
            <w:r w:rsidRPr="00A63A92">
              <w:rPr>
                <w:rFonts w:ascii="Arial" w:hAnsi="Arial"/>
                <w:sz w:val="20"/>
              </w:rPr>
              <w:t>Xamax</w:t>
            </w:r>
            <w:proofErr w:type="spellEnd"/>
            <w:r w:rsidRPr="00A63A92">
              <w:rPr>
                <w:rFonts w:ascii="Arial" w:hAnsi="Arial"/>
                <w:sz w:val="20"/>
              </w:rPr>
              <w:t xml:space="preserve"> nicht erfüllt</w:t>
            </w:r>
            <w:r w:rsidR="000127D3" w:rsidRPr="00A63A92">
              <w:rPr>
                <w:rFonts w:ascii="Arial" w:hAnsi="Arial"/>
                <w:sz w:val="20"/>
              </w:rPr>
              <w:t>?</w:t>
            </w:r>
          </w:p>
          <w:p w:rsidR="00567AD9" w:rsidRDefault="00567AD9" w:rsidP="00567AD9">
            <w:pPr>
              <w:pStyle w:val="Kopfzeile"/>
              <w:tabs>
                <w:tab w:val="clear" w:pos="4536"/>
                <w:tab w:val="clear" w:pos="9072"/>
              </w:tabs>
              <w:ind w:left="426"/>
              <w:rPr>
                <w:rFonts w:ascii="Arial" w:hAnsi="Arial"/>
                <w:sz w:val="20"/>
              </w:rPr>
            </w:pPr>
          </w:p>
          <w:p w:rsidR="00567AD9" w:rsidRPr="00567AD9" w:rsidRDefault="00567AD9" w:rsidP="00567AD9">
            <w:pPr>
              <w:pStyle w:val="Kopfzeile"/>
              <w:tabs>
                <w:tab w:val="clear" w:pos="4536"/>
                <w:tab w:val="clear" w:pos="9072"/>
              </w:tabs>
              <w:ind w:left="426"/>
              <w:rPr>
                <w:rFonts w:ascii="Arial" w:hAnsi="Arial"/>
                <w:b/>
                <w:sz w:val="20"/>
              </w:rPr>
            </w:pPr>
            <w:r w:rsidRPr="00567AD9">
              <w:rPr>
                <w:rFonts w:ascii="Arial" w:hAnsi="Arial"/>
                <w:b/>
                <w:sz w:val="20"/>
                <w:szCs w:val="24"/>
              </w:rPr>
              <w:t>Die finanziellen Kriterien.</w:t>
            </w:r>
          </w:p>
        </w:tc>
      </w:tr>
      <w:tr w:rsidR="000127D3" w:rsidRPr="00A63A92" w:rsidTr="000127D3">
        <w:tc>
          <w:tcPr>
            <w:tcW w:w="9356" w:type="dxa"/>
          </w:tcPr>
          <w:p w:rsidR="000127D3" w:rsidRPr="00A63A92" w:rsidRDefault="00D413D7" w:rsidP="00D76196">
            <w:pPr>
              <w:pStyle w:val="Kopfzeile"/>
              <w:tabs>
                <w:tab w:val="clear" w:pos="4536"/>
                <w:tab w:val="clear" w:pos="9072"/>
              </w:tabs>
              <w:ind w:left="426" w:hanging="426"/>
              <w:rPr>
                <w:rFonts w:ascii="Arial" w:hAnsi="Arial"/>
                <w:sz w:val="20"/>
              </w:rPr>
            </w:pPr>
            <w:r>
              <w:rPr>
                <w:rFonts w:ascii="Arial" w:hAnsi="Arial"/>
                <w:sz w:val="20"/>
              </w:rPr>
              <w:br/>
            </w:r>
          </w:p>
        </w:tc>
      </w:tr>
      <w:tr w:rsidR="00E64749" w:rsidRPr="00A63A92" w:rsidTr="000127D3">
        <w:tc>
          <w:tcPr>
            <w:tcW w:w="9356" w:type="dxa"/>
          </w:tcPr>
          <w:p w:rsidR="00567AD9" w:rsidRDefault="00692287" w:rsidP="00567AD9">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Warum entzieht die Swiss Football League den Vereinen in </w:t>
            </w:r>
            <w:r w:rsidR="00A63A92" w:rsidRPr="00A63A92">
              <w:rPr>
                <w:rFonts w:ascii="Arial" w:hAnsi="Arial"/>
                <w:sz w:val="20"/>
              </w:rPr>
              <w:t xml:space="preserve">so einem </w:t>
            </w:r>
            <w:r w:rsidRPr="00A63A92">
              <w:rPr>
                <w:rFonts w:ascii="Arial" w:hAnsi="Arial"/>
                <w:sz w:val="20"/>
              </w:rPr>
              <w:t>Fall die Lizenz</w:t>
            </w:r>
            <w:r w:rsidR="00E64749" w:rsidRPr="00A63A92">
              <w:rPr>
                <w:rFonts w:ascii="Arial" w:hAnsi="Arial"/>
                <w:sz w:val="20"/>
              </w:rPr>
              <w:t>?</w:t>
            </w:r>
          </w:p>
          <w:p w:rsidR="00E64749" w:rsidRPr="00567AD9" w:rsidRDefault="00F40C06" w:rsidP="00567AD9">
            <w:pPr>
              <w:pStyle w:val="Kopfzeile"/>
              <w:tabs>
                <w:tab w:val="clear" w:pos="4536"/>
                <w:tab w:val="clear" w:pos="9072"/>
              </w:tabs>
              <w:ind w:left="426"/>
              <w:rPr>
                <w:rFonts w:ascii="Arial" w:hAnsi="Arial"/>
                <w:b/>
                <w:sz w:val="20"/>
              </w:rPr>
            </w:pPr>
            <w:r>
              <w:rPr>
                <w:rFonts w:ascii="Arial" w:hAnsi="Arial"/>
                <w:sz w:val="20"/>
              </w:rPr>
              <w:br/>
            </w:r>
            <w:r w:rsidR="00567AD9" w:rsidRPr="00567AD9">
              <w:rPr>
                <w:rFonts w:ascii="Arial" w:hAnsi="Arial"/>
                <w:b/>
                <w:sz w:val="20"/>
                <w:szCs w:val="24"/>
              </w:rPr>
              <w:t>Die SFL ist an einem reibungslosen Spielbetrieb während der ganzen Saison stark intere</w:t>
            </w:r>
            <w:r w:rsidR="00567AD9" w:rsidRPr="00567AD9">
              <w:rPr>
                <w:rFonts w:ascii="Arial" w:hAnsi="Arial"/>
                <w:b/>
                <w:sz w:val="20"/>
                <w:szCs w:val="24"/>
              </w:rPr>
              <w:t>s</w:t>
            </w:r>
            <w:r w:rsidR="00567AD9" w:rsidRPr="00567AD9">
              <w:rPr>
                <w:rFonts w:ascii="Arial" w:hAnsi="Arial"/>
                <w:b/>
                <w:sz w:val="20"/>
                <w:szCs w:val="24"/>
              </w:rPr>
              <w:t>siert. Wenn ein Verein  seinen finanziellen Verpflichtungen gegenüber Spielern und übrigen Gläubigern (siehe Artikel 8 des SFL-Reglements) nicht mehr nachkommen kann, ist dieser Spielbetrieb in Gefahr. Hinter den Spielen der obersten Liga stecken weitere Verträge (z.B. TV-Übertragungsrechte oder Verkauf von Werbeträgern), die erfüllt werden müssen.</w:t>
            </w:r>
          </w:p>
        </w:tc>
      </w:tr>
      <w:tr w:rsidR="00E64749" w:rsidRPr="00A63A92" w:rsidTr="000127D3">
        <w:tc>
          <w:tcPr>
            <w:tcW w:w="9356" w:type="dxa"/>
          </w:tcPr>
          <w:p w:rsidR="00E64749" w:rsidRPr="00A63A92" w:rsidRDefault="00E64749" w:rsidP="00D76196">
            <w:pPr>
              <w:pStyle w:val="Kopfzeile"/>
              <w:tabs>
                <w:tab w:val="clear" w:pos="4536"/>
                <w:tab w:val="clear" w:pos="9072"/>
              </w:tabs>
              <w:ind w:left="426" w:hanging="426"/>
              <w:rPr>
                <w:rFonts w:ascii="Arial" w:hAnsi="Arial"/>
                <w:sz w:val="20"/>
              </w:rPr>
            </w:pPr>
          </w:p>
        </w:tc>
      </w:tr>
      <w:tr w:rsidR="00E64749" w:rsidRPr="00A63A92" w:rsidTr="000127D3">
        <w:tc>
          <w:tcPr>
            <w:tcW w:w="9356" w:type="dxa"/>
          </w:tcPr>
          <w:p w:rsidR="00F40C06" w:rsidRPr="00F40C06" w:rsidRDefault="00F40C06" w:rsidP="00E83193">
            <w:pPr>
              <w:pStyle w:val="Kopfzeile"/>
              <w:tabs>
                <w:tab w:val="clear" w:pos="4536"/>
                <w:tab w:val="clear" w:pos="9072"/>
              </w:tabs>
              <w:rPr>
                <w:rFonts w:ascii="Arial" w:hAnsi="Arial"/>
                <w:sz w:val="20"/>
              </w:rPr>
            </w:pPr>
          </w:p>
        </w:tc>
      </w:tr>
      <w:tr w:rsidR="00D76196" w:rsidRPr="00A63A92" w:rsidTr="000127D3">
        <w:tc>
          <w:tcPr>
            <w:tcW w:w="9356" w:type="dxa"/>
          </w:tcPr>
          <w:p w:rsidR="00D76196" w:rsidRDefault="00F40C06" w:rsidP="003708D8">
            <w:pPr>
              <w:rPr>
                <w:rFonts w:ascii="Arial" w:hAnsi="Arial"/>
                <w:b/>
                <w:sz w:val="24"/>
              </w:rPr>
            </w:pPr>
            <w:r w:rsidRPr="00A63A92">
              <w:rPr>
                <w:rFonts w:ascii="Arial" w:hAnsi="Arial"/>
                <w:b/>
                <w:sz w:val="20"/>
              </w:rPr>
              <w:t>Auszug aus dem Reglement der Swiss Football League (SFL) für die Lizenzerteilung</w:t>
            </w:r>
          </w:p>
          <w:p w:rsidR="003708D8" w:rsidRDefault="003708D8" w:rsidP="003708D8">
            <w:pPr>
              <w:rPr>
                <w:rFonts w:ascii="Arial" w:hAnsi="Arial"/>
                <w:b/>
                <w:sz w:val="24"/>
              </w:rPr>
            </w:pPr>
          </w:p>
          <w:p w:rsidR="003708D8" w:rsidRPr="00DA54E3" w:rsidRDefault="003708D8" w:rsidP="003708D8">
            <w:pPr>
              <w:rPr>
                <w:rFonts w:ascii="Arial" w:hAnsi="Arial"/>
                <w:b/>
                <w:sz w:val="16"/>
                <w:szCs w:val="16"/>
              </w:rPr>
            </w:pPr>
            <w:r w:rsidRPr="00DA54E3">
              <w:rPr>
                <w:rFonts w:ascii="Arial" w:hAnsi="Arial"/>
                <w:b/>
                <w:sz w:val="16"/>
                <w:szCs w:val="16"/>
              </w:rPr>
              <w:t>Artikel 2 – Begriff der Lizenz</w:t>
            </w:r>
          </w:p>
          <w:p w:rsidR="003708D8" w:rsidRPr="00D0283D" w:rsidRDefault="003708D8" w:rsidP="003708D8">
            <w:pPr>
              <w:rPr>
                <w:rFonts w:ascii="Arial" w:hAnsi="Arial"/>
                <w:i/>
                <w:sz w:val="16"/>
                <w:szCs w:val="16"/>
              </w:rPr>
            </w:pPr>
            <w:r w:rsidRPr="00D0283D">
              <w:rPr>
                <w:rFonts w:ascii="Arial" w:hAnsi="Arial"/>
                <w:i/>
                <w:sz w:val="16"/>
                <w:szCs w:val="16"/>
              </w:rPr>
              <w:t>Die Lizenz ist die einem Lizenzbewerber erteilte Ermächtigung, Mitglied der SFL zu sein und an den folgenden Wettbewerben teilzunehmen:</w:t>
            </w:r>
          </w:p>
          <w:p w:rsidR="003708D8" w:rsidRPr="00D0283D" w:rsidRDefault="003708D8" w:rsidP="003708D8">
            <w:pPr>
              <w:rPr>
                <w:rFonts w:ascii="Arial" w:hAnsi="Arial"/>
                <w:i/>
                <w:sz w:val="16"/>
                <w:szCs w:val="16"/>
              </w:rPr>
            </w:pPr>
            <w:r w:rsidRPr="00D0283D">
              <w:rPr>
                <w:rFonts w:ascii="Arial" w:hAnsi="Arial"/>
                <w:i/>
                <w:sz w:val="16"/>
                <w:szCs w:val="16"/>
              </w:rPr>
              <w:t>– Lizenz I:      Meisterschaft der Super League und UEFA-Klubwettbewerbe</w:t>
            </w:r>
          </w:p>
          <w:p w:rsidR="003708D8" w:rsidRPr="00D0283D" w:rsidRDefault="003708D8" w:rsidP="003708D8">
            <w:pPr>
              <w:rPr>
                <w:rFonts w:ascii="Arial" w:hAnsi="Arial"/>
                <w:i/>
                <w:sz w:val="16"/>
                <w:szCs w:val="16"/>
              </w:rPr>
            </w:pPr>
            <w:r w:rsidRPr="00D0283D">
              <w:rPr>
                <w:rFonts w:ascii="Arial" w:hAnsi="Arial"/>
                <w:i/>
                <w:sz w:val="16"/>
                <w:szCs w:val="16"/>
              </w:rPr>
              <w:t>– Lizenz II:     Meisterschaft der Super League</w:t>
            </w:r>
          </w:p>
          <w:p w:rsidR="003708D8" w:rsidRPr="00E83193" w:rsidRDefault="003708D8" w:rsidP="003708D8">
            <w:pPr>
              <w:rPr>
                <w:rFonts w:ascii="Arial" w:hAnsi="Arial"/>
                <w:i/>
                <w:sz w:val="16"/>
                <w:szCs w:val="16"/>
              </w:rPr>
            </w:pPr>
            <w:r w:rsidRPr="00D0283D">
              <w:rPr>
                <w:rFonts w:ascii="Arial" w:hAnsi="Arial"/>
                <w:i/>
                <w:sz w:val="16"/>
                <w:szCs w:val="16"/>
              </w:rPr>
              <w:t>– Lizenz III:    Meisterschaft der Challenge League</w:t>
            </w:r>
          </w:p>
          <w:p w:rsidR="003708D8" w:rsidRPr="003708D8" w:rsidRDefault="003708D8" w:rsidP="003708D8">
            <w:pPr>
              <w:rPr>
                <w:rFonts w:ascii="Arial" w:hAnsi="Arial"/>
                <w:sz w:val="16"/>
                <w:szCs w:val="16"/>
              </w:rPr>
            </w:pPr>
          </w:p>
          <w:p w:rsidR="003708D8" w:rsidRPr="00DA54E3" w:rsidRDefault="003708D8" w:rsidP="003708D8">
            <w:pPr>
              <w:rPr>
                <w:rFonts w:ascii="Arial" w:hAnsi="Arial"/>
                <w:b/>
                <w:sz w:val="16"/>
                <w:szCs w:val="16"/>
              </w:rPr>
            </w:pPr>
            <w:r w:rsidRPr="00DA54E3">
              <w:rPr>
                <w:rFonts w:ascii="Arial" w:hAnsi="Arial"/>
                <w:b/>
                <w:sz w:val="16"/>
                <w:szCs w:val="16"/>
              </w:rPr>
              <w:t>Artikel 3 – Sinn und Zweck der Lizenz</w:t>
            </w:r>
          </w:p>
          <w:p w:rsidR="003708D8" w:rsidRPr="00986AD6" w:rsidRDefault="003708D8" w:rsidP="003708D8">
            <w:pPr>
              <w:rPr>
                <w:rFonts w:ascii="Arial" w:hAnsi="Arial"/>
                <w:i/>
                <w:sz w:val="16"/>
                <w:szCs w:val="16"/>
              </w:rPr>
            </w:pPr>
            <w:r w:rsidRPr="00986AD6">
              <w:rPr>
                <w:rFonts w:ascii="Arial" w:hAnsi="Arial"/>
                <w:i/>
                <w:sz w:val="16"/>
                <w:szCs w:val="16"/>
              </w:rPr>
              <w:t>Sinn und Zweck der Lizenz ist die Förderung der Qualität des Schweizer Fussballs. Dies geschieht dadurch, dass den Lizenzb</w:t>
            </w:r>
            <w:r w:rsidRPr="00986AD6">
              <w:rPr>
                <w:rFonts w:ascii="Arial" w:hAnsi="Arial"/>
                <w:i/>
                <w:sz w:val="16"/>
                <w:szCs w:val="16"/>
              </w:rPr>
              <w:t>e</w:t>
            </w:r>
            <w:r w:rsidRPr="00986AD6">
              <w:rPr>
                <w:rFonts w:ascii="Arial" w:hAnsi="Arial"/>
                <w:i/>
                <w:sz w:val="16"/>
                <w:szCs w:val="16"/>
              </w:rPr>
              <w:t>werbern in den nachstehenden Bereichen zu erfüllende Kriterien auferlegt werden, nämlich:</w:t>
            </w:r>
          </w:p>
          <w:p w:rsidR="003708D8" w:rsidRPr="00986AD6" w:rsidRDefault="003708D8" w:rsidP="003708D8">
            <w:pPr>
              <w:rPr>
                <w:rFonts w:ascii="Arial" w:hAnsi="Arial"/>
                <w:i/>
                <w:sz w:val="16"/>
                <w:szCs w:val="16"/>
              </w:rPr>
            </w:pPr>
            <w:r w:rsidRPr="00986AD6">
              <w:rPr>
                <w:rFonts w:ascii="Arial" w:hAnsi="Arial"/>
                <w:i/>
                <w:sz w:val="16"/>
                <w:szCs w:val="16"/>
              </w:rPr>
              <w:t>– rechtliche</w:t>
            </w:r>
          </w:p>
          <w:p w:rsidR="003708D8" w:rsidRPr="00986AD6" w:rsidRDefault="003708D8" w:rsidP="003708D8">
            <w:pPr>
              <w:rPr>
                <w:rFonts w:ascii="Arial" w:hAnsi="Arial"/>
                <w:i/>
                <w:sz w:val="16"/>
                <w:szCs w:val="16"/>
              </w:rPr>
            </w:pPr>
            <w:r w:rsidRPr="00986AD6">
              <w:rPr>
                <w:rFonts w:ascii="Arial" w:hAnsi="Arial"/>
                <w:i/>
                <w:sz w:val="16"/>
                <w:szCs w:val="16"/>
              </w:rPr>
              <w:t>– infrastrukturelle</w:t>
            </w:r>
          </w:p>
          <w:p w:rsidR="003708D8" w:rsidRPr="00986AD6" w:rsidRDefault="003708D8" w:rsidP="003708D8">
            <w:pPr>
              <w:rPr>
                <w:rFonts w:ascii="Arial" w:hAnsi="Arial"/>
                <w:i/>
                <w:sz w:val="16"/>
                <w:szCs w:val="16"/>
              </w:rPr>
            </w:pPr>
            <w:r w:rsidRPr="00986AD6">
              <w:rPr>
                <w:rFonts w:ascii="Arial" w:hAnsi="Arial"/>
                <w:i/>
                <w:sz w:val="16"/>
                <w:szCs w:val="16"/>
              </w:rPr>
              <w:t>– sportliche</w:t>
            </w:r>
          </w:p>
          <w:p w:rsidR="003708D8" w:rsidRPr="00986AD6" w:rsidRDefault="003708D8" w:rsidP="003708D8">
            <w:pPr>
              <w:rPr>
                <w:rFonts w:ascii="Arial" w:hAnsi="Arial"/>
                <w:i/>
                <w:sz w:val="16"/>
                <w:szCs w:val="16"/>
              </w:rPr>
            </w:pPr>
            <w:r w:rsidRPr="00986AD6">
              <w:rPr>
                <w:rFonts w:ascii="Arial" w:hAnsi="Arial"/>
                <w:i/>
                <w:sz w:val="16"/>
                <w:szCs w:val="16"/>
              </w:rPr>
              <w:t>– administrative</w:t>
            </w:r>
          </w:p>
          <w:p w:rsidR="003708D8" w:rsidRPr="00986AD6" w:rsidRDefault="003708D8" w:rsidP="003708D8">
            <w:pPr>
              <w:rPr>
                <w:rFonts w:ascii="Arial" w:hAnsi="Arial"/>
                <w:i/>
                <w:sz w:val="16"/>
                <w:szCs w:val="16"/>
              </w:rPr>
            </w:pPr>
            <w:r w:rsidRPr="00986AD6">
              <w:rPr>
                <w:rFonts w:ascii="Arial" w:hAnsi="Arial"/>
                <w:i/>
                <w:sz w:val="16"/>
                <w:szCs w:val="16"/>
              </w:rPr>
              <w:t>– finanzielle</w:t>
            </w:r>
          </w:p>
          <w:p w:rsidR="003708D8" w:rsidRPr="00E83193" w:rsidRDefault="003708D8" w:rsidP="003708D8">
            <w:pPr>
              <w:rPr>
                <w:rFonts w:ascii="Arial" w:hAnsi="Arial"/>
                <w:i/>
                <w:sz w:val="16"/>
                <w:szCs w:val="16"/>
              </w:rPr>
            </w:pPr>
            <w:r w:rsidRPr="00986AD6">
              <w:rPr>
                <w:rFonts w:ascii="Arial" w:hAnsi="Arial"/>
                <w:i/>
                <w:sz w:val="16"/>
                <w:szCs w:val="16"/>
              </w:rPr>
              <w:t>– sicherheitsspezifische</w:t>
            </w:r>
          </w:p>
          <w:p w:rsidR="003708D8" w:rsidRPr="003708D8" w:rsidRDefault="003708D8" w:rsidP="003708D8">
            <w:pPr>
              <w:rPr>
                <w:rFonts w:ascii="Arial" w:hAnsi="Arial"/>
                <w:sz w:val="16"/>
                <w:szCs w:val="16"/>
              </w:rPr>
            </w:pPr>
          </w:p>
          <w:p w:rsidR="003708D8" w:rsidRPr="00DA54E3" w:rsidRDefault="003708D8" w:rsidP="003708D8">
            <w:pPr>
              <w:rPr>
                <w:rFonts w:ascii="Arial" w:hAnsi="Arial"/>
                <w:b/>
                <w:sz w:val="16"/>
                <w:szCs w:val="16"/>
              </w:rPr>
            </w:pPr>
            <w:r w:rsidRPr="00DA54E3">
              <w:rPr>
                <w:rFonts w:ascii="Arial" w:hAnsi="Arial"/>
                <w:b/>
                <w:sz w:val="16"/>
                <w:szCs w:val="16"/>
              </w:rPr>
              <w:t>Artikel 8 – Finanzielle Kriterien</w:t>
            </w:r>
          </w:p>
          <w:p w:rsidR="003708D8" w:rsidRPr="00986AD6" w:rsidRDefault="003708D8" w:rsidP="003708D8">
            <w:pPr>
              <w:rPr>
                <w:rFonts w:ascii="Arial" w:hAnsi="Arial"/>
                <w:b/>
                <w:i/>
                <w:sz w:val="24"/>
              </w:rPr>
            </w:pPr>
            <w:r w:rsidRPr="00986AD6">
              <w:rPr>
                <w:rFonts w:ascii="Arial" w:hAnsi="Arial"/>
                <w:i/>
                <w:sz w:val="16"/>
                <w:szCs w:val="16"/>
              </w:rPr>
              <w:t>Die vom Lizenzbewerber zu erfüllenden finanziellen Kriterien dienen in ihrer Gesamtheit zur Beurteilung, ob der Lizenzbewerber über die zur Erfüllung seiner Verpflichtungen bis Ende der nächsten Meisterschaft notwendigen finanziellen Mittel verfügt. Legt der Lizenzbewerber dies nicht dar oder gelangen die Lizenzbehörden aufgrund der eingereichten Unterlagen nicht zur entspr</w:t>
            </w:r>
            <w:r w:rsidRPr="00986AD6">
              <w:rPr>
                <w:rFonts w:ascii="Arial" w:hAnsi="Arial"/>
                <w:i/>
                <w:sz w:val="16"/>
                <w:szCs w:val="16"/>
              </w:rPr>
              <w:t>e</w:t>
            </w:r>
            <w:r w:rsidRPr="00986AD6">
              <w:rPr>
                <w:rFonts w:ascii="Arial" w:hAnsi="Arial"/>
                <w:i/>
                <w:sz w:val="16"/>
                <w:szCs w:val="16"/>
              </w:rPr>
              <w:t>chenden Überzeugung, wird die Lizenz verweigert. Nebst der finanziellen Leistungsfähigkeit hat der Lizenzbewerber namentlich zu beweisen, dass er nicht überschuldet ist  und keine überfälligen Verbindlichkeiten aus Transfertätigkeiten  sowie  gegenüber Angestellten, Sozialversicherungsanstalten und Steuerbehörden bestehen.</w:t>
            </w:r>
          </w:p>
        </w:tc>
      </w:tr>
    </w:tbl>
    <w:p w:rsidR="00C474D0" w:rsidRPr="00A63A92" w:rsidRDefault="00C474D0" w:rsidP="003708D8">
      <w:pPr>
        <w:autoSpaceDE w:val="0"/>
        <w:autoSpaceDN w:val="0"/>
        <w:adjustRightInd w:val="0"/>
        <w:spacing w:before="13" w:line="257" w:lineRule="auto"/>
        <w:ind w:right="51"/>
        <w:rPr>
          <w:rFonts w:ascii="Arial" w:hAnsi="Arial"/>
          <w:i/>
          <w:sz w:val="20"/>
          <w:lang w:eastAsia="de-CH"/>
        </w:rPr>
      </w:pPr>
    </w:p>
    <w:sectPr w:rsidR="00C474D0" w:rsidRPr="00A63A92" w:rsidSect="001467F6">
      <w:headerReference w:type="even" r:id="rId9"/>
      <w:headerReference w:type="default" r:id="rId10"/>
      <w:footerReference w:type="even"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D3" w:rsidRDefault="000127D3">
      <w:r>
        <w:separator/>
      </w:r>
    </w:p>
  </w:endnote>
  <w:endnote w:type="continuationSeparator" w:id="0">
    <w:p w:rsidR="000127D3" w:rsidRDefault="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1" w:rsidRDefault="00FE67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0127D3" w:rsidRPr="00E231F5" w:rsidTr="00A47B59">
      <w:trPr>
        <w:trHeight w:val="227"/>
      </w:trPr>
      <w:tc>
        <w:tcPr>
          <w:tcW w:w="2754" w:type="dxa"/>
          <w:shd w:val="clear" w:color="auto" w:fill="C7C0B9"/>
          <w:vAlign w:val="center"/>
        </w:tcPr>
        <w:p w:rsidR="000127D3" w:rsidRPr="00E231F5" w:rsidRDefault="000127D3"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0127D3" w:rsidRPr="00E231F5" w:rsidRDefault="000127D3"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0127D3" w:rsidRPr="00E231F5" w:rsidRDefault="000127D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83193">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E83193">
            <w:rPr>
              <w:rFonts w:ascii="Arial" w:hAnsi="Arial"/>
              <w:b/>
              <w:noProof/>
              <w:sz w:val="16"/>
              <w:szCs w:val="16"/>
            </w:rPr>
            <w:t>2</w:t>
          </w:r>
          <w:r w:rsidRPr="00E231F5">
            <w:rPr>
              <w:rFonts w:ascii="Arial" w:hAnsi="Arial"/>
              <w:b/>
              <w:noProof/>
              <w:sz w:val="16"/>
              <w:szCs w:val="16"/>
            </w:rPr>
            <w:fldChar w:fldCharType="end"/>
          </w:r>
        </w:p>
      </w:tc>
    </w:tr>
  </w:tbl>
  <w:p w:rsidR="000127D3" w:rsidRDefault="000127D3">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0127D3" w:rsidRPr="00E231F5" w:rsidTr="004F1B50">
      <w:trPr>
        <w:trHeight w:val="227"/>
      </w:trPr>
      <w:tc>
        <w:tcPr>
          <w:tcW w:w="2754" w:type="dxa"/>
          <w:shd w:val="clear" w:color="auto" w:fill="C7C0B9"/>
          <w:vAlign w:val="center"/>
        </w:tcPr>
        <w:p w:rsidR="000127D3" w:rsidRPr="00E231F5" w:rsidRDefault="000127D3"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0127D3" w:rsidRPr="00E231F5" w:rsidRDefault="000127D3"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0127D3" w:rsidRPr="00E231F5" w:rsidRDefault="000127D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FE6731">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FE6731">
            <w:rPr>
              <w:rFonts w:ascii="Arial" w:hAnsi="Arial"/>
              <w:b/>
              <w:noProof/>
              <w:sz w:val="16"/>
              <w:szCs w:val="16"/>
            </w:rPr>
            <w:t>1</w:t>
          </w:r>
          <w:r w:rsidRPr="00E231F5">
            <w:rPr>
              <w:rFonts w:ascii="Arial" w:hAnsi="Arial"/>
              <w:b/>
              <w:noProof/>
              <w:sz w:val="16"/>
              <w:szCs w:val="16"/>
            </w:rPr>
            <w:fldChar w:fldCharType="end"/>
          </w:r>
        </w:p>
      </w:tc>
    </w:tr>
  </w:tbl>
  <w:p w:rsidR="000127D3" w:rsidRDefault="000127D3">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D3" w:rsidRDefault="000127D3">
      <w:r>
        <w:separator/>
      </w:r>
    </w:p>
  </w:footnote>
  <w:footnote w:type="continuationSeparator" w:id="0">
    <w:p w:rsidR="000127D3" w:rsidRDefault="0001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1" w:rsidRDefault="00FE67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0127D3" w:rsidTr="00A47B59">
      <w:trPr>
        <w:trHeight w:hRule="exact" w:val="227"/>
      </w:trPr>
      <w:tc>
        <w:tcPr>
          <w:tcW w:w="9356" w:type="dxa"/>
          <w:gridSpan w:val="3"/>
        </w:tcPr>
        <w:p w:rsidR="000127D3" w:rsidRPr="008103E2" w:rsidRDefault="000127D3" w:rsidP="00A47B59">
          <w:pPr>
            <w:pStyle w:val="Kopfzeile"/>
            <w:rPr>
              <w:rFonts w:ascii="Arial" w:hAnsi="Arial"/>
              <w:sz w:val="20"/>
            </w:rPr>
          </w:pPr>
        </w:p>
      </w:tc>
    </w:tr>
    <w:tr w:rsidR="000127D3" w:rsidTr="00A47B59">
      <w:trPr>
        <w:trHeight w:hRule="exact" w:val="567"/>
      </w:trPr>
      <w:tc>
        <w:tcPr>
          <w:tcW w:w="3932" w:type="dxa"/>
          <w:vMerge w:val="restart"/>
        </w:tcPr>
        <w:p w:rsidR="000127D3" w:rsidRDefault="00957C86" w:rsidP="00A47B59">
          <w:pPr>
            <w:pStyle w:val="Kopfzeile"/>
          </w:pPr>
          <w:r>
            <w:rPr>
              <w:noProof/>
              <w:lang w:eastAsia="de-CH"/>
            </w:rPr>
            <w:drawing>
              <wp:inline distT="0" distB="0" distL="0" distR="0" wp14:anchorId="51C28748" wp14:editId="2ECCC866">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0127D3" w:rsidRDefault="000127D3" w:rsidP="00A47B59">
          <w:pPr>
            <w:pStyle w:val="Kopfzeile"/>
            <w:jc w:val="center"/>
          </w:pPr>
        </w:p>
      </w:tc>
      <w:tc>
        <w:tcPr>
          <w:tcW w:w="3618" w:type="dxa"/>
          <w:vAlign w:val="bottom"/>
        </w:tcPr>
        <w:p w:rsidR="000127D3" w:rsidRPr="002D01FD" w:rsidRDefault="00F40C06" w:rsidP="00A47B59">
          <w:pPr>
            <w:pStyle w:val="Kopfzeile"/>
            <w:jc w:val="right"/>
            <w:rPr>
              <w:rFonts w:ascii="Arial" w:hAnsi="Arial"/>
              <w:b/>
              <w:sz w:val="24"/>
              <w:szCs w:val="24"/>
            </w:rPr>
          </w:pPr>
          <w:r>
            <w:rPr>
              <w:rFonts w:ascii="Arial" w:hAnsi="Arial"/>
              <w:b/>
              <w:sz w:val="24"/>
              <w:szCs w:val="24"/>
            </w:rPr>
            <w:t>Arbeitsblatt 1</w:t>
          </w:r>
        </w:p>
      </w:tc>
    </w:tr>
    <w:tr w:rsidR="000127D3" w:rsidTr="00A47B59">
      <w:trPr>
        <w:trHeight w:hRule="exact" w:val="397"/>
      </w:trPr>
      <w:tc>
        <w:tcPr>
          <w:tcW w:w="3932" w:type="dxa"/>
          <w:vMerge/>
        </w:tcPr>
        <w:p w:rsidR="000127D3" w:rsidRDefault="000127D3" w:rsidP="00A47B59">
          <w:pPr>
            <w:pStyle w:val="Kopfzeile"/>
            <w:rPr>
              <w:rFonts w:ascii="Arial" w:hAnsi="Arial"/>
              <w:noProof/>
              <w:sz w:val="26"/>
              <w:lang w:eastAsia="de-CH"/>
            </w:rPr>
          </w:pPr>
        </w:p>
      </w:tc>
      <w:tc>
        <w:tcPr>
          <w:tcW w:w="1806" w:type="dxa"/>
          <w:vMerge/>
        </w:tcPr>
        <w:p w:rsidR="000127D3" w:rsidRDefault="000127D3" w:rsidP="00A47B59">
          <w:pPr>
            <w:pStyle w:val="Kopfzeile"/>
          </w:pPr>
        </w:p>
      </w:tc>
      <w:tc>
        <w:tcPr>
          <w:tcW w:w="3618" w:type="dxa"/>
          <w:vAlign w:val="bottom"/>
        </w:tcPr>
        <w:p w:rsidR="000127D3" w:rsidRPr="002D01FD" w:rsidRDefault="000127D3" w:rsidP="00A47B59">
          <w:pPr>
            <w:pStyle w:val="Kopfzeile"/>
            <w:jc w:val="right"/>
            <w:rPr>
              <w:rFonts w:ascii="Arial" w:hAnsi="Arial"/>
              <w:b/>
              <w:sz w:val="24"/>
              <w:szCs w:val="24"/>
            </w:rPr>
          </w:pPr>
        </w:p>
      </w:tc>
    </w:tr>
    <w:tr w:rsidR="000127D3" w:rsidTr="00A47B59">
      <w:trPr>
        <w:trHeight w:hRule="exact" w:val="227"/>
      </w:trPr>
      <w:tc>
        <w:tcPr>
          <w:tcW w:w="9356" w:type="dxa"/>
          <w:gridSpan w:val="3"/>
        </w:tcPr>
        <w:p w:rsidR="000127D3" w:rsidRDefault="000127D3" w:rsidP="00A47B59">
          <w:pPr>
            <w:pStyle w:val="Kopfzeile"/>
          </w:pPr>
        </w:p>
      </w:tc>
    </w:tr>
    <w:tr w:rsidR="000127D3" w:rsidTr="00A47B59">
      <w:tc>
        <w:tcPr>
          <w:tcW w:w="9356" w:type="dxa"/>
          <w:gridSpan w:val="3"/>
          <w:shd w:val="clear" w:color="auto" w:fill="C7C0B9"/>
          <w:vAlign w:val="center"/>
        </w:tcPr>
        <w:p w:rsidR="000127D3" w:rsidRPr="00E53CA0" w:rsidRDefault="00F40C06" w:rsidP="00A47B59">
          <w:pPr>
            <w:pStyle w:val="Kopfzeile"/>
            <w:rPr>
              <w:rFonts w:ascii="Arial" w:hAnsi="Arial"/>
              <w:b/>
              <w:sz w:val="20"/>
            </w:rPr>
          </w:pPr>
          <w:r>
            <w:rPr>
              <w:rFonts w:ascii="Arial" w:hAnsi="Arial"/>
              <w:b/>
              <w:sz w:val="20"/>
            </w:rPr>
            <w:t>Geld und Fussball</w:t>
          </w:r>
        </w:p>
      </w:tc>
    </w:tr>
  </w:tbl>
  <w:p w:rsidR="000127D3" w:rsidRPr="00F0097F" w:rsidRDefault="000127D3">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596284" w:rsidTr="002866B2">
      <w:trPr>
        <w:trHeight w:val="227"/>
      </w:trPr>
      <w:tc>
        <w:tcPr>
          <w:tcW w:w="9356" w:type="dxa"/>
          <w:gridSpan w:val="6"/>
          <w:vAlign w:val="center"/>
        </w:tcPr>
        <w:p w:rsidR="00596284" w:rsidRPr="00092BCF" w:rsidRDefault="00596284" w:rsidP="002866B2">
          <w:pPr>
            <w:pStyle w:val="Kopfzeile"/>
            <w:rPr>
              <w:rFonts w:ascii="Arial" w:hAnsi="Arial"/>
              <w:sz w:val="20"/>
            </w:rPr>
          </w:pPr>
        </w:p>
      </w:tc>
    </w:tr>
    <w:tr w:rsidR="00596284" w:rsidTr="002866B2">
      <w:trPr>
        <w:trHeight w:hRule="exact" w:val="567"/>
      </w:trPr>
      <w:tc>
        <w:tcPr>
          <w:tcW w:w="3932" w:type="dxa"/>
          <w:gridSpan w:val="3"/>
          <w:vMerge w:val="restart"/>
        </w:tcPr>
        <w:p w:rsidR="00596284" w:rsidRDefault="00753DE0" w:rsidP="002866B2">
          <w:pPr>
            <w:pStyle w:val="Kopfzeile"/>
          </w:pPr>
          <w:r>
            <w:rPr>
              <w:noProof/>
              <w:lang w:eastAsia="de-CH"/>
            </w:rPr>
            <w:drawing>
              <wp:inline distT="0" distB="0" distL="0" distR="0" wp14:anchorId="30F72C54" wp14:editId="156C6829">
                <wp:extent cx="2412000" cy="61327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96284" w:rsidRDefault="00596284" w:rsidP="002866B2">
          <w:pPr>
            <w:pStyle w:val="Kopfzeile"/>
          </w:pPr>
        </w:p>
        <w:p w:rsidR="00596284" w:rsidRPr="0008046F" w:rsidRDefault="00596284" w:rsidP="002866B2">
          <w:pPr>
            <w:jc w:val="center"/>
          </w:pPr>
        </w:p>
      </w:tc>
      <w:tc>
        <w:tcPr>
          <w:tcW w:w="3618" w:type="dxa"/>
          <w:gridSpan w:val="2"/>
          <w:vAlign w:val="bottom"/>
        </w:tcPr>
        <w:p w:rsidR="00596284" w:rsidRDefault="00596284" w:rsidP="002866B2">
          <w:pPr>
            <w:pStyle w:val="Kopfzeile"/>
            <w:jc w:val="right"/>
            <w:rPr>
              <w:rFonts w:ascii="Arial" w:hAnsi="Arial"/>
              <w:b/>
              <w:sz w:val="24"/>
              <w:szCs w:val="24"/>
            </w:rPr>
          </w:pPr>
          <w:r>
            <w:rPr>
              <w:rFonts w:ascii="Arial" w:hAnsi="Arial"/>
              <w:b/>
              <w:sz w:val="24"/>
              <w:szCs w:val="24"/>
            </w:rPr>
            <w:t>Arbeitsblatt 1</w:t>
          </w:r>
        </w:p>
        <w:p w:rsidR="00567AD9" w:rsidRPr="002D01FD" w:rsidRDefault="00567AD9" w:rsidP="002866B2">
          <w:pPr>
            <w:pStyle w:val="Kopfzeile"/>
            <w:jc w:val="right"/>
            <w:rPr>
              <w:rFonts w:ascii="Arial" w:hAnsi="Arial"/>
              <w:b/>
              <w:sz w:val="24"/>
              <w:szCs w:val="24"/>
            </w:rPr>
          </w:pPr>
          <w:r>
            <w:rPr>
              <w:rFonts w:ascii="Arial" w:hAnsi="Arial"/>
              <w:b/>
              <w:sz w:val="24"/>
              <w:szCs w:val="24"/>
            </w:rPr>
            <w:t>Lösungen</w:t>
          </w:r>
        </w:p>
      </w:tc>
    </w:tr>
    <w:tr w:rsidR="00596284" w:rsidTr="002866B2">
      <w:trPr>
        <w:trHeight w:hRule="exact" w:val="397"/>
      </w:trPr>
      <w:tc>
        <w:tcPr>
          <w:tcW w:w="3932" w:type="dxa"/>
          <w:gridSpan w:val="3"/>
          <w:vMerge/>
        </w:tcPr>
        <w:p w:rsidR="00596284" w:rsidRDefault="00596284" w:rsidP="002866B2">
          <w:pPr>
            <w:pStyle w:val="Kopfzeile"/>
            <w:rPr>
              <w:rFonts w:ascii="Arial" w:hAnsi="Arial"/>
              <w:noProof/>
              <w:sz w:val="26"/>
              <w:lang w:eastAsia="de-CH"/>
            </w:rPr>
          </w:pPr>
        </w:p>
      </w:tc>
      <w:tc>
        <w:tcPr>
          <w:tcW w:w="1806" w:type="dxa"/>
          <w:vMerge/>
        </w:tcPr>
        <w:p w:rsidR="00596284" w:rsidRDefault="00596284" w:rsidP="002866B2">
          <w:pPr>
            <w:pStyle w:val="Kopfzeile"/>
          </w:pPr>
        </w:p>
      </w:tc>
      <w:tc>
        <w:tcPr>
          <w:tcW w:w="3618" w:type="dxa"/>
          <w:gridSpan w:val="2"/>
          <w:vAlign w:val="bottom"/>
        </w:tcPr>
        <w:p w:rsidR="00596284" w:rsidRPr="002D01FD" w:rsidRDefault="00596284" w:rsidP="002866B2">
          <w:pPr>
            <w:pStyle w:val="Kopfzeile"/>
            <w:jc w:val="right"/>
            <w:rPr>
              <w:rFonts w:ascii="Arial" w:hAnsi="Arial"/>
              <w:b/>
              <w:sz w:val="24"/>
              <w:szCs w:val="24"/>
            </w:rPr>
          </w:pPr>
        </w:p>
      </w:tc>
    </w:tr>
    <w:tr w:rsidR="00596284" w:rsidTr="002866B2">
      <w:trPr>
        <w:trHeight w:hRule="exact" w:val="227"/>
      </w:trPr>
      <w:tc>
        <w:tcPr>
          <w:tcW w:w="9356" w:type="dxa"/>
          <w:gridSpan w:val="6"/>
        </w:tcPr>
        <w:p w:rsidR="00596284" w:rsidRPr="00092BCF" w:rsidRDefault="00596284" w:rsidP="002866B2">
          <w:pPr>
            <w:pStyle w:val="Kopfzeile"/>
            <w:rPr>
              <w:rFonts w:ascii="Arial" w:hAnsi="Arial"/>
              <w:sz w:val="20"/>
            </w:rPr>
          </w:pPr>
        </w:p>
      </w:tc>
    </w:tr>
    <w:tr w:rsidR="00596284" w:rsidTr="002866B2">
      <w:trPr>
        <w:trHeight w:hRule="exact" w:val="227"/>
      </w:trPr>
      <w:tc>
        <w:tcPr>
          <w:tcW w:w="2762" w:type="dxa"/>
          <w:vMerge w:val="restart"/>
          <w:vAlign w:val="center"/>
        </w:tcPr>
        <w:p w:rsidR="00596284" w:rsidRDefault="00FE6731" w:rsidP="002866B2">
          <w:pPr>
            <w:pStyle w:val="Kopfzeile"/>
          </w:pPr>
          <w:r>
            <w:rPr>
              <w:noProof/>
              <w:lang w:eastAsia="de-CH"/>
            </w:rPr>
            <w:drawing>
              <wp:inline distT="0" distB="0" distL="0" distR="0" wp14:anchorId="7AE4B7F8" wp14:editId="3372A572">
                <wp:extent cx="1663200" cy="936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 und Fussball.jpg"/>
                        <pic:cNvPicPr/>
                      </pic:nvPicPr>
                      <pic:blipFill>
                        <a:blip r:embed="rId2">
                          <a:extLst>
                            <a:ext uri="{28A0092B-C50C-407E-A947-70E740481C1C}">
                              <a14:useLocalDpi xmlns:a14="http://schemas.microsoft.com/office/drawing/2010/main" val="0"/>
                            </a:ext>
                          </a:extLst>
                        </a:blip>
                        <a:stretch>
                          <a:fillRect/>
                        </a:stretch>
                      </pic:blipFill>
                      <pic:spPr>
                        <a:xfrm>
                          <a:off x="0" y="0"/>
                          <a:ext cx="1663200" cy="936840"/>
                        </a:xfrm>
                        <a:prstGeom prst="rect">
                          <a:avLst/>
                        </a:prstGeom>
                      </pic:spPr>
                    </pic:pic>
                  </a:graphicData>
                </a:graphic>
              </wp:inline>
            </w:drawing>
          </w:r>
        </w:p>
      </w:tc>
      <w:tc>
        <w:tcPr>
          <w:tcW w:w="170" w:type="dxa"/>
          <w:vMerge w:val="restart"/>
        </w:tcPr>
        <w:p w:rsidR="00596284" w:rsidRDefault="00596284" w:rsidP="002866B2">
          <w:pPr>
            <w:pStyle w:val="Kopfzeile"/>
          </w:pPr>
        </w:p>
      </w:tc>
      <w:tc>
        <w:tcPr>
          <w:tcW w:w="4678" w:type="dxa"/>
          <w:gridSpan w:val="3"/>
          <w:shd w:val="clear" w:color="auto" w:fill="C7C0B9"/>
          <w:vAlign w:val="center"/>
        </w:tcPr>
        <w:p w:rsidR="00596284" w:rsidRPr="002D01FD" w:rsidRDefault="00596284" w:rsidP="002866B2">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596284" w:rsidRPr="002D01FD" w:rsidRDefault="00596284" w:rsidP="002866B2">
          <w:pPr>
            <w:pStyle w:val="Kopfzeile"/>
            <w:jc w:val="right"/>
            <w:rPr>
              <w:rFonts w:ascii="Arial" w:hAnsi="Arial"/>
              <w:sz w:val="18"/>
              <w:szCs w:val="18"/>
            </w:rPr>
          </w:pPr>
        </w:p>
      </w:tc>
    </w:tr>
    <w:tr w:rsidR="00596284" w:rsidTr="002866B2">
      <w:trPr>
        <w:trHeight w:hRule="exact" w:val="454"/>
      </w:trPr>
      <w:tc>
        <w:tcPr>
          <w:tcW w:w="2762" w:type="dxa"/>
          <w:vMerge/>
        </w:tcPr>
        <w:p w:rsidR="00596284" w:rsidRDefault="00596284" w:rsidP="002866B2">
          <w:pPr>
            <w:pStyle w:val="Kopfzeile"/>
          </w:pPr>
        </w:p>
      </w:tc>
      <w:tc>
        <w:tcPr>
          <w:tcW w:w="170" w:type="dxa"/>
          <w:vMerge/>
        </w:tcPr>
        <w:p w:rsidR="00596284" w:rsidRDefault="00596284" w:rsidP="002866B2">
          <w:pPr>
            <w:pStyle w:val="Kopfzeile"/>
          </w:pPr>
        </w:p>
      </w:tc>
      <w:tc>
        <w:tcPr>
          <w:tcW w:w="6424" w:type="dxa"/>
          <w:gridSpan w:val="4"/>
          <w:shd w:val="clear" w:color="auto" w:fill="EAEAEA"/>
          <w:vAlign w:val="bottom"/>
        </w:tcPr>
        <w:p w:rsidR="00596284" w:rsidRPr="00C86D4C" w:rsidRDefault="00596284" w:rsidP="002866B2">
          <w:pPr>
            <w:pStyle w:val="Kopfzeile"/>
            <w:rPr>
              <w:rFonts w:ascii="Arial" w:hAnsi="Arial"/>
              <w:b/>
              <w:sz w:val="16"/>
              <w:szCs w:val="24"/>
            </w:rPr>
          </w:pPr>
        </w:p>
        <w:p w:rsidR="00596284" w:rsidRPr="00FE6731" w:rsidRDefault="00C772C7" w:rsidP="002866B2">
          <w:pPr>
            <w:pStyle w:val="Kopfzeile"/>
            <w:rPr>
              <w:rFonts w:ascii="Arial" w:hAnsi="Arial"/>
              <w:b/>
              <w:szCs w:val="22"/>
            </w:rPr>
          </w:pPr>
          <w:r w:rsidRPr="00FE6731">
            <w:rPr>
              <w:rFonts w:ascii="Arial" w:hAnsi="Arial"/>
              <w:b/>
              <w:szCs w:val="22"/>
            </w:rPr>
            <w:t>Geld und Fussball</w:t>
          </w:r>
        </w:p>
      </w:tc>
    </w:tr>
    <w:tr w:rsidR="00596284" w:rsidTr="002C2CEF">
      <w:trPr>
        <w:trHeight w:hRule="exact" w:val="811"/>
      </w:trPr>
      <w:tc>
        <w:tcPr>
          <w:tcW w:w="2762" w:type="dxa"/>
          <w:vMerge/>
        </w:tcPr>
        <w:p w:rsidR="00596284" w:rsidRDefault="00596284" w:rsidP="002866B2">
          <w:pPr>
            <w:pStyle w:val="Kopfzeile"/>
          </w:pPr>
        </w:p>
      </w:tc>
      <w:tc>
        <w:tcPr>
          <w:tcW w:w="170" w:type="dxa"/>
          <w:vMerge/>
        </w:tcPr>
        <w:p w:rsidR="00596284" w:rsidRDefault="00596284" w:rsidP="002866B2">
          <w:pPr>
            <w:pStyle w:val="Kopfzeile"/>
          </w:pPr>
        </w:p>
      </w:tc>
      <w:tc>
        <w:tcPr>
          <w:tcW w:w="6424" w:type="dxa"/>
          <w:gridSpan w:val="4"/>
          <w:shd w:val="clear" w:color="auto" w:fill="EAEAEA"/>
        </w:tcPr>
        <w:p w:rsidR="00596284" w:rsidRPr="00566D69" w:rsidRDefault="00C772C7" w:rsidP="002C2CEF">
          <w:pPr>
            <w:pStyle w:val="Kopfzeile"/>
            <w:rPr>
              <w:sz w:val="18"/>
              <w:szCs w:val="18"/>
            </w:rPr>
          </w:pPr>
          <w:r w:rsidRPr="00C772C7">
            <w:rPr>
              <w:rFonts w:ascii="Arial" w:hAnsi="Arial"/>
              <w:sz w:val="16"/>
            </w:rPr>
            <w:t xml:space="preserve">Bankrott von </w:t>
          </w:r>
          <w:proofErr w:type="spellStart"/>
          <w:r w:rsidRPr="00C772C7">
            <w:rPr>
              <w:rFonts w:ascii="Arial" w:hAnsi="Arial"/>
              <w:sz w:val="16"/>
            </w:rPr>
            <w:t>Xamax</w:t>
          </w:r>
          <w:proofErr w:type="spellEnd"/>
          <w:r w:rsidRPr="00C772C7">
            <w:rPr>
              <w:rFonts w:ascii="Arial" w:hAnsi="Arial"/>
              <w:sz w:val="16"/>
            </w:rPr>
            <w:t xml:space="preserve"> (sportaktuell, 26.01.2012) 02:25 min </w:t>
          </w:r>
          <w:bookmarkStart w:id="0" w:name="_GoBack"/>
          <w:bookmarkEnd w:id="0"/>
        </w:p>
      </w:tc>
    </w:tr>
  </w:tbl>
  <w:p w:rsidR="000127D3" w:rsidRPr="00F0097F" w:rsidRDefault="000127D3">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F31C22"/>
    <w:multiLevelType w:val="hybridMultilevel"/>
    <w:tmpl w:val="F9863EFA"/>
    <w:lvl w:ilvl="0" w:tplc="8A5425A2">
      <w:start w:val="1"/>
      <w:numFmt w:val="decimal"/>
      <w:lvlText w:val="%1)"/>
      <w:lvlJc w:val="left"/>
      <w:pPr>
        <w:ind w:left="720" w:hanging="360"/>
      </w:pPr>
      <w:rPr>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9A01107"/>
    <w:multiLevelType w:val="hybridMultilevel"/>
    <w:tmpl w:val="158E549E"/>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15"/>
  </w:num>
  <w:num w:numId="5">
    <w:abstractNumId w:val="14"/>
  </w:num>
  <w:num w:numId="6">
    <w:abstractNumId w:val="11"/>
  </w:num>
  <w:num w:numId="7">
    <w:abstractNumId w:val="4"/>
  </w:num>
  <w:num w:numId="8">
    <w:abstractNumId w:val="1"/>
  </w:num>
  <w:num w:numId="9">
    <w:abstractNumId w:val="13"/>
  </w:num>
  <w:num w:numId="10">
    <w:abstractNumId w:val="2"/>
  </w:num>
  <w:num w:numId="11">
    <w:abstractNumId w:val="7"/>
  </w:num>
  <w:num w:numId="12">
    <w:abstractNumId w:val="0"/>
  </w:num>
  <w:num w:numId="13">
    <w:abstractNumId w:val="12"/>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autoHyphenation/>
  <w:hyphenationZone w:val="425"/>
  <w:doNotShadeFormData/>
  <w:noPunctuationKerning/>
  <w:characterSpacingControl w:val="doNotCompress"/>
  <w:hdrShapeDefaults>
    <o:shapedefaults v:ext="edit" spidmax="573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12008"/>
    <w:rsid w:val="000127D3"/>
    <w:rsid w:val="00013301"/>
    <w:rsid w:val="000168F9"/>
    <w:rsid w:val="00034C0B"/>
    <w:rsid w:val="000542A1"/>
    <w:rsid w:val="00054A08"/>
    <w:rsid w:val="00061923"/>
    <w:rsid w:val="0006345C"/>
    <w:rsid w:val="00065561"/>
    <w:rsid w:val="00070869"/>
    <w:rsid w:val="00070E33"/>
    <w:rsid w:val="00074C80"/>
    <w:rsid w:val="000752ED"/>
    <w:rsid w:val="00084979"/>
    <w:rsid w:val="00085A93"/>
    <w:rsid w:val="00085CEA"/>
    <w:rsid w:val="00086C9A"/>
    <w:rsid w:val="000B1B25"/>
    <w:rsid w:val="000B7030"/>
    <w:rsid w:val="000B73FE"/>
    <w:rsid w:val="000C21CF"/>
    <w:rsid w:val="000F750F"/>
    <w:rsid w:val="00101A8C"/>
    <w:rsid w:val="00101BE1"/>
    <w:rsid w:val="00114139"/>
    <w:rsid w:val="001176D3"/>
    <w:rsid w:val="00143CB8"/>
    <w:rsid w:val="00143D26"/>
    <w:rsid w:val="001467F6"/>
    <w:rsid w:val="00150F69"/>
    <w:rsid w:val="00166279"/>
    <w:rsid w:val="00195A0E"/>
    <w:rsid w:val="001A3224"/>
    <w:rsid w:val="001B3C76"/>
    <w:rsid w:val="001B77E2"/>
    <w:rsid w:val="002049FF"/>
    <w:rsid w:val="002338AA"/>
    <w:rsid w:val="00233B90"/>
    <w:rsid w:val="00243DC2"/>
    <w:rsid w:val="00244868"/>
    <w:rsid w:val="00253F37"/>
    <w:rsid w:val="00255804"/>
    <w:rsid w:val="002558F8"/>
    <w:rsid w:val="00257F9B"/>
    <w:rsid w:val="0028586C"/>
    <w:rsid w:val="002C2CEF"/>
    <w:rsid w:val="002C54B6"/>
    <w:rsid w:val="002C6B1D"/>
    <w:rsid w:val="002C6DBD"/>
    <w:rsid w:val="002D00AC"/>
    <w:rsid w:val="002E077C"/>
    <w:rsid w:val="002E4986"/>
    <w:rsid w:val="00323D0D"/>
    <w:rsid w:val="00330A77"/>
    <w:rsid w:val="003429F6"/>
    <w:rsid w:val="003601B9"/>
    <w:rsid w:val="003708D8"/>
    <w:rsid w:val="00380429"/>
    <w:rsid w:val="00384482"/>
    <w:rsid w:val="00386693"/>
    <w:rsid w:val="003B7E23"/>
    <w:rsid w:val="003D3134"/>
    <w:rsid w:val="003E7FF0"/>
    <w:rsid w:val="003F6BE6"/>
    <w:rsid w:val="00410447"/>
    <w:rsid w:val="00415BC5"/>
    <w:rsid w:val="0044097B"/>
    <w:rsid w:val="00442666"/>
    <w:rsid w:val="0044293F"/>
    <w:rsid w:val="00451D90"/>
    <w:rsid w:val="004554C2"/>
    <w:rsid w:val="00470262"/>
    <w:rsid w:val="00480092"/>
    <w:rsid w:val="00485C23"/>
    <w:rsid w:val="00491FA5"/>
    <w:rsid w:val="00492EE6"/>
    <w:rsid w:val="00497544"/>
    <w:rsid w:val="004B0B5D"/>
    <w:rsid w:val="004B6E8A"/>
    <w:rsid w:val="004C3AF7"/>
    <w:rsid w:val="004D49D5"/>
    <w:rsid w:val="004E0446"/>
    <w:rsid w:val="004E267D"/>
    <w:rsid w:val="004E5D66"/>
    <w:rsid w:val="004F1B50"/>
    <w:rsid w:val="005149F7"/>
    <w:rsid w:val="00516997"/>
    <w:rsid w:val="00543A6C"/>
    <w:rsid w:val="0056227C"/>
    <w:rsid w:val="00567AD9"/>
    <w:rsid w:val="0058095E"/>
    <w:rsid w:val="00583D3E"/>
    <w:rsid w:val="005841F8"/>
    <w:rsid w:val="005850A5"/>
    <w:rsid w:val="00596284"/>
    <w:rsid w:val="005B2FF2"/>
    <w:rsid w:val="005B7135"/>
    <w:rsid w:val="005C6985"/>
    <w:rsid w:val="005D1E03"/>
    <w:rsid w:val="005D7D38"/>
    <w:rsid w:val="005F6BBF"/>
    <w:rsid w:val="00601ECB"/>
    <w:rsid w:val="00614018"/>
    <w:rsid w:val="006524D0"/>
    <w:rsid w:val="00661563"/>
    <w:rsid w:val="00667D87"/>
    <w:rsid w:val="006837EB"/>
    <w:rsid w:val="00692287"/>
    <w:rsid w:val="00695AC4"/>
    <w:rsid w:val="00696D22"/>
    <w:rsid w:val="006A0C06"/>
    <w:rsid w:val="006A3A72"/>
    <w:rsid w:val="006C61CC"/>
    <w:rsid w:val="006D1C8D"/>
    <w:rsid w:val="006E2F5F"/>
    <w:rsid w:val="006E6675"/>
    <w:rsid w:val="006E7C95"/>
    <w:rsid w:val="006F0AE2"/>
    <w:rsid w:val="0070285A"/>
    <w:rsid w:val="00724A6B"/>
    <w:rsid w:val="00725421"/>
    <w:rsid w:val="00727FA1"/>
    <w:rsid w:val="00753DE0"/>
    <w:rsid w:val="00766C9D"/>
    <w:rsid w:val="007710E0"/>
    <w:rsid w:val="007776A8"/>
    <w:rsid w:val="00790266"/>
    <w:rsid w:val="00793AB2"/>
    <w:rsid w:val="00796C17"/>
    <w:rsid w:val="007B0B1A"/>
    <w:rsid w:val="007B5612"/>
    <w:rsid w:val="007B615D"/>
    <w:rsid w:val="007F5172"/>
    <w:rsid w:val="008157D9"/>
    <w:rsid w:val="008338DE"/>
    <w:rsid w:val="00837C30"/>
    <w:rsid w:val="00854008"/>
    <w:rsid w:val="008638DA"/>
    <w:rsid w:val="008730DE"/>
    <w:rsid w:val="008750A5"/>
    <w:rsid w:val="008B2AC2"/>
    <w:rsid w:val="008C13CF"/>
    <w:rsid w:val="008C2425"/>
    <w:rsid w:val="008E4517"/>
    <w:rsid w:val="008E6883"/>
    <w:rsid w:val="008E6B2D"/>
    <w:rsid w:val="0090365D"/>
    <w:rsid w:val="00910E06"/>
    <w:rsid w:val="00931A69"/>
    <w:rsid w:val="009463F4"/>
    <w:rsid w:val="00957C86"/>
    <w:rsid w:val="00975CC9"/>
    <w:rsid w:val="00976744"/>
    <w:rsid w:val="0098167D"/>
    <w:rsid w:val="00983443"/>
    <w:rsid w:val="0098392B"/>
    <w:rsid w:val="00986AD6"/>
    <w:rsid w:val="009949D4"/>
    <w:rsid w:val="009A2BBB"/>
    <w:rsid w:val="009B1364"/>
    <w:rsid w:val="009C12F7"/>
    <w:rsid w:val="009C45EE"/>
    <w:rsid w:val="009E2D1C"/>
    <w:rsid w:val="009E7A31"/>
    <w:rsid w:val="009F16F3"/>
    <w:rsid w:val="00A120DD"/>
    <w:rsid w:val="00A130C7"/>
    <w:rsid w:val="00A306EE"/>
    <w:rsid w:val="00A30917"/>
    <w:rsid w:val="00A427DC"/>
    <w:rsid w:val="00A44367"/>
    <w:rsid w:val="00A46D74"/>
    <w:rsid w:val="00A47B59"/>
    <w:rsid w:val="00A51962"/>
    <w:rsid w:val="00A52B69"/>
    <w:rsid w:val="00A533BC"/>
    <w:rsid w:val="00A63A92"/>
    <w:rsid w:val="00A82058"/>
    <w:rsid w:val="00A82D35"/>
    <w:rsid w:val="00A97938"/>
    <w:rsid w:val="00AB0191"/>
    <w:rsid w:val="00AB76C5"/>
    <w:rsid w:val="00AC4249"/>
    <w:rsid w:val="00AC6957"/>
    <w:rsid w:val="00AF60CF"/>
    <w:rsid w:val="00B008FF"/>
    <w:rsid w:val="00B07FF4"/>
    <w:rsid w:val="00B179D8"/>
    <w:rsid w:val="00B27228"/>
    <w:rsid w:val="00B31E92"/>
    <w:rsid w:val="00B34CB3"/>
    <w:rsid w:val="00B45A96"/>
    <w:rsid w:val="00B4742B"/>
    <w:rsid w:val="00B53642"/>
    <w:rsid w:val="00B55FEF"/>
    <w:rsid w:val="00B63CB0"/>
    <w:rsid w:val="00B64311"/>
    <w:rsid w:val="00B87E56"/>
    <w:rsid w:val="00BA620B"/>
    <w:rsid w:val="00BB2564"/>
    <w:rsid w:val="00BB5BC5"/>
    <w:rsid w:val="00BC7FD9"/>
    <w:rsid w:val="00BF26B5"/>
    <w:rsid w:val="00BF7C8D"/>
    <w:rsid w:val="00BF7FC2"/>
    <w:rsid w:val="00C053BF"/>
    <w:rsid w:val="00C06F30"/>
    <w:rsid w:val="00C11D92"/>
    <w:rsid w:val="00C15202"/>
    <w:rsid w:val="00C313CB"/>
    <w:rsid w:val="00C326C3"/>
    <w:rsid w:val="00C33582"/>
    <w:rsid w:val="00C43BF6"/>
    <w:rsid w:val="00C474D0"/>
    <w:rsid w:val="00C52408"/>
    <w:rsid w:val="00C52C83"/>
    <w:rsid w:val="00C65946"/>
    <w:rsid w:val="00C66CEA"/>
    <w:rsid w:val="00C712A2"/>
    <w:rsid w:val="00C75C8B"/>
    <w:rsid w:val="00C772C7"/>
    <w:rsid w:val="00C87F25"/>
    <w:rsid w:val="00C925BD"/>
    <w:rsid w:val="00C97378"/>
    <w:rsid w:val="00CA632C"/>
    <w:rsid w:val="00CB15CC"/>
    <w:rsid w:val="00CB26E5"/>
    <w:rsid w:val="00CB2E4A"/>
    <w:rsid w:val="00CB352B"/>
    <w:rsid w:val="00CB5C14"/>
    <w:rsid w:val="00CE0655"/>
    <w:rsid w:val="00CE62FC"/>
    <w:rsid w:val="00CF6166"/>
    <w:rsid w:val="00D0283D"/>
    <w:rsid w:val="00D02B53"/>
    <w:rsid w:val="00D06954"/>
    <w:rsid w:val="00D14C39"/>
    <w:rsid w:val="00D17217"/>
    <w:rsid w:val="00D23902"/>
    <w:rsid w:val="00D34455"/>
    <w:rsid w:val="00D37D9B"/>
    <w:rsid w:val="00D40DCD"/>
    <w:rsid w:val="00D413D7"/>
    <w:rsid w:val="00D41A91"/>
    <w:rsid w:val="00D42245"/>
    <w:rsid w:val="00D63BB7"/>
    <w:rsid w:val="00D74C30"/>
    <w:rsid w:val="00D76196"/>
    <w:rsid w:val="00D80548"/>
    <w:rsid w:val="00D94E4B"/>
    <w:rsid w:val="00DA1FAC"/>
    <w:rsid w:val="00DA54E3"/>
    <w:rsid w:val="00DA6E1D"/>
    <w:rsid w:val="00DB3140"/>
    <w:rsid w:val="00DC13CC"/>
    <w:rsid w:val="00DD166A"/>
    <w:rsid w:val="00DE57F4"/>
    <w:rsid w:val="00E0074C"/>
    <w:rsid w:val="00E14632"/>
    <w:rsid w:val="00E25EBF"/>
    <w:rsid w:val="00E311EC"/>
    <w:rsid w:val="00E35905"/>
    <w:rsid w:val="00E55362"/>
    <w:rsid w:val="00E64749"/>
    <w:rsid w:val="00E647A1"/>
    <w:rsid w:val="00E6586B"/>
    <w:rsid w:val="00E66FF5"/>
    <w:rsid w:val="00E83193"/>
    <w:rsid w:val="00E93606"/>
    <w:rsid w:val="00EA1D38"/>
    <w:rsid w:val="00EA3E38"/>
    <w:rsid w:val="00EA4561"/>
    <w:rsid w:val="00EA73F2"/>
    <w:rsid w:val="00EC5921"/>
    <w:rsid w:val="00ED0463"/>
    <w:rsid w:val="00ED4DF3"/>
    <w:rsid w:val="00EE01AC"/>
    <w:rsid w:val="00EE6841"/>
    <w:rsid w:val="00EE77E0"/>
    <w:rsid w:val="00EF6A64"/>
    <w:rsid w:val="00EF6B03"/>
    <w:rsid w:val="00F0097F"/>
    <w:rsid w:val="00F04F84"/>
    <w:rsid w:val="00F13473"/>
    <w:rsid w:val="00F16CD2"/>
    <w:rsid w:val="00F25022"/>
    <w:rsid w:val="00F40C06"/>
    <w:rsid w:val="00F547CC"/>
    <w:rsid w:val="00F6737F"/>
    <w:rsid w:val="00F92083"/>
    <w:rsid w:val="00FB168D"/>
    <w:rsid w:val="00FC199E"/>
    <w:rsid w:val="00FC6FFB"/>
    <w:rsid w:val="00FD6C6E"/>
    <w:rsid w:val="00FE6731"/>
    <w:rsid w:val="00FF03D8"/>
    <w:rsid w:val="00FF5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40DD-1A23-46CF-AB64-AD009BC6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1</Pages>
  <Words>337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2630</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6</cp:revision>
  <cp:lastPrinted>2012-11-27T09:55:00Z</cp:lastPrinted>
  <dcterms:created xsi:type="dcterms:W3CDTF">2013-01-24T14:52:00Z</dcterms:created>
  <dcterms:modified xsi:type="dcterms:W3CDTF">2013-01-24T16:23:00Z</dcterms:modified>
  <cp:category>Zuma Vorlage phe</cp:category>
</cp:coreProperties>
</file>