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3600"/>
        <w:gridCol w:w="41"/>
        <w:gridCol w:w="2624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F1633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F16339" w:rsidRDefault="00D0114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8"/>
                <w:lang w:eastAsia="de-CH"/>
              </w:rPr>
              <w:drawing>
                <wp:inline distT="0" distB="0" distL="0" distR="0" wp14:anchorId="08777602" wp14:editId="69F6CDCB">
                  <wp:extent cx="1666875" cy="1209675"/>
                  <wp:effectExtent l="0" t="0" r="0" b="0"/>
                  <wp:docPr id="1" name="Grafik 1" descr="\\Sfblfile\schultv\03 Internet\content\schulfernsehen\ONLINE_DATEIEN\3299_dossier_ich\3299_img\3299_img_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fblfile\schultv\03 Internet\content\schulfernsehen\ONLINE_DATEIEN\3299_dossier_ich\3299_img\3299_img_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:rsidR="00A427DC" w:rsidRPr="00F16339" w:rsidRDefault="00C65029" w:rsidP="00F16339">
            <w:pPr>
              <w:rPr>
                <w:rFonts w:ascii="Arial" w:hAnsi="Arial"/>
                <w:sz w:val="18"/>
                <w:highlight w:val="lightGray"/>
              </w:rPr>
            </w:pPr>
            <w:r>
              <w:rPr>
                <w:rFonts w:ascii="Arial" w:hAnsi="Arial"/>
                <w:sz w:val="18"/>
                <w:highlight w:val="lightGray"/>
              </w:rPr>
              <w:t>Gesellschaft für Sek I, Sek II</w:t>
            </w:r>
          </w:p>
        </w:tc>
        <w:tc>
          <w:tcPr>
            <w:tcW w:w="2624" w:type="dxa"/>
            <w:shd w:val="clear" w:color="auto" w:fill="C7C0B9"/>
          </w:tcPr>
          <w:p w:rsidR="00A427DC" w:rsidRPr="00F16339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D0114F" w:rsidRPr="00F1633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D0114F" w:rsidRPr="00F16339" w:rsidRDefault="00D0114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D0114F" w:rsidRPr="00F16339" w:rsidRDefault="00D0114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D0114F" w:rsidRDefault="00D0114F" w:rsidP="00825367">
            <w:pPr>
              <w:rPr>
                <w:rFonts w:ascii="Arial" w:hAnsi="Arial"/>
                <w:b/>
                <w:bCs/>
                <w:sz w:val="24"/>
              </w:rPr>
            </w:pPr>
          </w:p>
          <w:p w:rsidR="00D0114F" w:rsidRDefault="00D0114F" w:rsidP="00825367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b/>
                <w:bCs/>
                <w:sz w:val="24"/>
              </w:rPr>
              <w:t>Dossier Ich</w:t>
            </w:r>
          </w:p>
        </w:tc>
      </w:tr>
      <w:tr w:rsidR="00D0114F" w:rsidRPr="00F1633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D0114F" w:rsidRPr="00F16339" w:rsidRDefault="00D0114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D0114F" w:rsidRPr="00F16339" w:rsidRDefault="00D0114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D0114F" w:rsidRDefault="00D0114F" w:rsidP="0082536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Selbstverletzung – Ich werden – Gesellschaft und Ich – Ich-Beratung</w:t>
            </w:r>
          </w:p>
          <w:p w:rsidR="00D0114F" w:rsidRDefault="00D0114F" w:rsidP="00825367">
            <w:pPr>
              <w:rPr>
                <w:rFonts w:ascii="Arial" w:hAnsi="Arial"/>
                <w:sz w:val="20"/>
              </w:rPr>
            </w:pPr>
          </w:p>
          <w:p w:rsidR="00D0114F" w:rsidRDefault="00D0114F" w:rsidP="00825367">
            <w:pPr>
              <w:rPr>
                <w:rFonts w:ascii="Arial" w:hAnsi="Arial"/>
                <w:sz w:val="20"/>
              </w:rPr>
            </w:pPr>
          </w:p>
          <w:p w:rsidR="00D0114F" w:rsidRDefault="00D0114F" w:rsidP="00825367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29:15 Minuten</w:t>
            </w:r>
          </w:p>
        </w:tc>
      </w:tr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81"/>
        <w:gridCol w:w="6260"/>
      </w:tblGrid>
      <w:tr w:rsidR="00EA06C1" w:rsidRPr="00F16339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F16339" w:rsidRDefault="00D0114F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3" name="Grafik 3" descr="\\Sfblfile\schultv\03 Internet\content\schulfernsehen\ONLINE_DATEIEN\3299_dossier_ich\3299_img\3299_img_b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fblfile\schultv\03 Internet\content\schulfernsehen\ONLINE_DATEIEN\3299_dossier_ich\3299_img\3299_img_b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Pr="00F16339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C65029" w:rsidRDefault="00C65029" w:rsidP="00C65029">
            <w:pPr>
              <w:pStyle w:val="Kopfzeile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 Wo wurde das Ich bzw. die Seele in der Antike, im Mittelalter und bei Descartes angesiedelt?</w:t>
            </w:r>
          </w:p>
          <w:p w:rsidR="00C65029" w:rsidRDefault="00C65029" w:rsidP="00C6502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– In der Antike siedelte man das Ich in den Körpersäften an.</w:t>
            </w:r>
          </w:p>
          <w:p w:rsidR="00C65029" w:rsidRDefault="00C65029" w:rsidP="00C6502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Im Mittelalter glaubte man, dass Herz sei der Sitz der Seele. </w:t>
            </w:r>
          </w:p>
          <w:p w:rsidR="00C65029" w:rsidRDefault="00C65029" w:rsidP="00C6502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– Descartes war überzeugt davon, dass das Ich in einer bestimmten Stelle, der kleinen Zirbeldrüse, im Hirn sitzt. Diese Stelle sei die Schnittstelle zwischen Leib und Seele.</w:t>
            </w:r>
          </w:p>
          <w:p w:rsidR="00C65029" w:rsidRDefault="00C65029" w:rsidP="00C65029">
            <w:pPr>
              <w:ind w:left="1080"/>
              <w:rPr>
                <w:rFonts w:ascii="Arial" w:hAnsi="Arial"/>
                <w:sz w:val="20"/>
              </w:rPr>
            </w:pPr>
          </w:p>
          <w:p w:rsidR="00C65029" w:rsidRDefault="00C65029" w:rsidP="00C65029">
            <w:pPr>
              <w:pStyle w:val="berschrift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 Welche Theorie kam im 19. Jahrhundert auf?</w:t>
            </w:r>
          </w:p>
          <w:p w:rsidR="00C65029" w:rsidRDefault="00C65029" w:rsidP="00C6502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 Theorie, dass das ganze Hirn der Sitz des Ichs ist.</w:t>
            </w:r>
          </w:p>
          <w:p w:rsidR="00C65029" w:rsidRDefault="00C65029" w:rsidP="00C65029">
            <w:pPr>
              <w:ind w:left="360"/>
              <w:rPr>
                <w:rFonts w:ascii="Arial" w:hAnsi="Arial"/>
                <w:sz w:val="20"/>
              </w:rPr>
            </w:pPr>
          </w:p>
          <w:p w:rsidR="00C65029" w:rsidRDefault="00C65029" w:rsidP="00C65029">
            <w:pPr>
              <w:pStyle w:val="berschrift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 Wo ist, glaubst du, dein Ich?</w:t>
            </w:r>
          </w:p>
          <w:p w:rsidR="00C65029" w:rsidRDefault="00C65029" w:rsidP="00C6502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(Individuelle Antworten)</w:t>
            </w:r>
          </w:p>
          <w:p w:rsidR="00C65029" w:rsidRDefault="00C65029" w:rsidP="00C65029">
            <w:pPr>
              <w:rPr>
                <w:rFonts w:ascii="Arial" w:hAnsi="Arial"/>
                <w:sz w:val="20"/>
              </w:rPr>
            </w:pPr>
          </w:p>
          <w:p w:rsidR="00C65029" w:rsidRDefault="00C65029" w:rsidP="00C65029">
            <w:pPr>
              <w:pStyle w:val="berschrift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 Wie weit ist man heute in der Ich-Forschung?</w:t>
            </w:r>
          </w:p>
          <w:p w:rsidR="00C65029" w:rsidRDefault="00C65029" w:rsidP="00C6502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 gäbe fast so viele Theorien wie Forscher, eigentlich sei man noch nirgends, sagt Andreas Bartels.</w:t>
            </w:r>
          </w:p>
          <w:p w:rsidR="00C65029" w:rsidRDefault="00C65029" w:rsidP="00C65029">
            <w:pPr>
              <w:rPr>
                <w:rFonts w:ascii="Arial" w:hAnsi="Arial"/>
                <w:sz w:val="20"/>
              </w:rPr>
            </w:pPr>
          </w:p>
          <w:p w:rsidR="00C65029" w:rsidRDefault="00C65029" w:rsidP="00C65029">
            <w:pPr>
              <w:pStyle w:val="berschrift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 Wie sieht das Gehirn, wie zum Beispiel jenes von Albert Ei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>stein, aus?</w:t>
            </w:r>
          </w:p>
          <w:p w:rsidR="00C65029" w:rsidRDefault="00C65029" w:rsidP="00C6502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Grundsätzlich wie das von normalintelligenten Menschen. Vielleicht würde man im MRI herausfinden, dass gewisse Hirnregionen etwas grösser sind: Hirnregionen zum Beispiel, die für komplexe mathem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>tische oder abstrakte Abhandlungen zuständig sind.</w:t>
            </w:r>
          </w:p>
          <w:p w:rsidR="00C65029" w:rsidRDefault="00C65029" w:rsidP="00C65029">
            <w:pPr>
              <w:ind w:left="360"/>
              <w:rPr>
                <w:rFonts w:ascii="Arial" w:hAnsi="Arial"/>
                <w:sz w:val="20"/>
              </w:rPr>
            </w:pPr>
          </w:p>
          <w:p w:rsidR="00C65029" w:rsidRDefault="00C65029" w:rsidP="00C65029">
            <w:pPr>
              <w:pStyle w:val="Kopfzeile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6. Was hat man über die Gehirne von Psychopathen wie zum Beispiel Charles Manson herausgefunden?</w:t>
            </w:r>
          </w:p>
          <w:p w:rsidR="00C65029" w:rsidRDefault="00C65029" w:rsidP="00C6502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Bei Psychopathen fehlt eine relativ kleine Hirnregion – oder sie ist reduziert. Diese Region ist dafür verantwortlich, sich in andere Me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 xml:space="preserve">schen </w:t>
            </w:r>
            <w:proofErr w:type="spellStart"/>
            <w:r>
              <w:rPr>
                <w:rFonts w:ascii="Arial" w:hAnsi="Arial"/>
                <w:sz w:val="20"/>
              </w:rPr>
              <w:t>hineinzufühlen</w:t>
            </w:r>
            <w:proofErr w:type="spellEnd"/>
            <w:r>
              <w:rPr>
                <w:rFonts w:ascii="Arial" w:hAnsi="Arial"/>
                <w:sz w:val="20"/>
              </w:rPr>
              <w:t>. Psychopathen können also kein Mitleid em</w:t>
            </w:r>
            <w:r>
              <w:rPr>
                <w:rFonts w:ascii="Arial" w:hAnsi="Arial"/>
                <w:sz w:val="20"/>
              </w:rPr>
              <w:t>p</w:t>
            </w:r>
            <w:r>
              <w:rPr>
                <w:rFonts w:ascii="Arial" w:hAnsi="Arial"/>
                <w:sz w:val="20"/>
              </w:rPr>
              <w:t>finden, sie merken nicht, dass sie jemanden quälen.</w:t>
            </w:r>
          </w:p>
          <w:p w:rsidR="00C65029" w:rsidRDefault="00C65029" w:rsidP="00C65029">
            <w:pPr>
              <w:ind w:left="360"/>
              <w:rPr>
                <w:rFonts w:ascii="Arial" w:hAnsi="Arial"/>
                <w:sz w:val="20"/>
              </w:rPr>
            </w:pPr>
          </w:p>
          <w:p w:rsidR="00C65029" w:rsidRDefault="00C65029" w:rsidP="00C65029">
            <w:pPr>
              <w:pStyle w:val="berschrift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7. Was ist das Besondere am Hirn eines Taxifahrers?</w:t>
            </w:r>
          </w:p>
          <w:p w:rsidR="00C65029" w:rsidRDefault="00C65029" w:rsidP="00C6502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Hirnforscher haben herausgefunden, dass bei Taxifahrern ein B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 xml:space="preserve">reich im </w:t>
            </w:r>
            <w:proofErr w:type="spellStart"/>
            <w:r>
              <w:rPr>
                <w:rFonts w:ascii="Arial" w:hAnsi="Arial"/>
                <w:sz w:val="20"/>
              </w:rPr>
              <w:t>Hippocampus</w:t>
            </w:r>
            <w:proofErr w:type="spellEnd"/>
            <w:r>
              <w:rPr>
                <w:rFonts w:ascii="Arial" w:hAnsi="Arial"/>
                <w:sz w:val="20"/>
              </w:rPr>
              <w:t xml:space="preserve"> vergrössert ist. Dieser Bereich ist für die N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>vigation zuständig. Erstaunlich: Je länger die Taxifahrer ihren Beruf ausübten, desto grösser war dieser Bereich. Erfahrung kann Hirnb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reiche also wachsen lassen.</w:t>
            </w:r>
          </w:p>
          <w:p w:rsidR="00C65029" w:rsidRDefault="00C65029" w:rsidP="00C65029">
            <w:pPr>
              <w:ind w:left="360"/>
              <w:rPr>
                <w:rFonts w:ascii="Arial" w:hAnsi="Arial"/>
                <w:sz w:val="20"/>
              </w:rPr>
            </w:pPr>
          </w:p>
          <w:p w:rsidR="00C65029" w:rsidRDefault="00C65029" w:rsidP="00C65029">
            <w:pPr>
              <w:pStyle w:val="berschrift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8. Wie läuft die Ich-Entwicklung ab, wann ist sie abgeschlo</w:t>
            </w:r>
            <w:r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z w:val="20"/>
              </w:rPr>
              <w:t>sen?</w:t>
            </w:r>
          </w:p>
          <w:p w:rsidR="00C65029" w:rsidRDefault="00C65029" w:rsidP="00C6502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Die Ich-Entwicklung läuft in Etappen ab. Ab 18 Monaten können sich Kinder im Spiegel erkennen, mit drei bis vier Jahren lernen sie, sich in andere Menschen </w:t>
            </w:r>
            <w:proofErr w:type="spellStart"/>
            <w:r>
              <w:rPr>
                <w:rFonts w:ascii="Arial" w:hAnsi="Arial"/>
                <w:sz w:val="20"/>
              </w:rPr>
              <w:t>hineinzufühlen</w:t>
            </w:r>
            <w:proofErr w:type="spellEnd"/>
            <w:r>
              <w:rPr>
                <w:rFonts w:ascii="Arial" w:hAnsi="Arial"/>
                <w:sz w:val="20"/>
              </w:rPr>
              <w:t>. Abgeschlossen ist diese En</w:t>
            </w: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wicklung nie.</w:t>
            </w:r>
          </w:p>
          <w:p w:rsidR="00C65029" w:rsidRDefault="00C65029" w:rsidP="00C65029">
            <w:pPr>
              <w:ind w:left="360"/>
              <w:rPr>
                <w:rFonts w:ascii="Arial" w:hAnsi="Arial"/>
                <w:sz w:val="20"/>
              </w:rPr>
            </w:pPr>
          </w:p>
          <w:p w:rsidR="00C65029" w:rsidRDefault="00C65029" w:rsidP="00C65029">
            <w:pPr>
              <w:pStyle w:val="Kopfzeile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9. Menschen können sich etwa im Alter von achtzehn Jahren im Spiegel erkennen – und Tiere?</w:t>
            </w:r>
          </w:p>
          <w:p w:rsidR="00C65029" w:rsidRDefault="00C65029" w:rsidP="00C6502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Laut Remo Largo können nur andere Primaten (zum Beispiel Schi</w:t>
            </w:r>
            <w:r>
              <w:rPr>
                <w:rFonts w:ascii="Arial" w:hAnsi="Arial"/>
                <w:sz w:val="20"/>
              </w:rPr>
              <w:t>m</w:t>
            </w:r>
            <w:r>
              <w:rPr>
                <w:rFonts w:ascii="Arial" w:hAnsi="Arial"/>
                <w:sz w:val="20"/>
              </w:rPr>
              <w:t xml:space="preserve">pansen) sich selbst erkennen. </w:t>
            </w:r>
          </w:p>
          <w:p w:rsidR="00C65029" w:rsidRDefault="00C65029" w:rsidP="00C65029">
            <w:pPr>
              <w:rPr>
                <w:rFonts w:ascii="Arial" w:hAnsi="Arial"/>
                <w:sz w:val="20"/>
              </w:rPr>
            </w:pPr>
          </w:p>
          <w:p w:rsidR="00C65029" w:rsidRDefault="00C65029" w:rsidP="00C65029">
            <w:pPr>
              <w:pStyle w:val="berschrift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10. Wann ist jemand «nicht sich selber»? </w:t>
            </w:r>
          </w:p>
          <w:p w:rsidR="00C65029" w:rsidRDefault="00C65029" w:rsidP="00C6502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Subjektiv: Wenn er getrunken oder Drogen genommen hat. Auch, wenn er ausser sich vor Wut ist. Objektiv: Man ist immer sich selbst: Denn in diesen Situationen ist lediglich die Aktivität gewisser Hirnr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gionen höher als sonst.</w:t>
            </w:r>
          </w:p>
          <w:p w:rsidR="00C65029" w:rsidRDefault="00C65029" w:rsidP="00C65029">
            <w:pPr>
              <w:pStyle w:val="berschrift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11. Wie sieht ein bewusstloses Hirn aus?</w:t>
            </w:r>
          </w:p>
          <w:p w:rsidR="00C65029" w:rsidRDefault="00C65029" w:rsidP="00C6502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Man kann bewusstlosen Menschen Fotos zeigen oder Geräusche vermitteln: Dabei stellt man fest, dass die Hirnaktivität kaum anders ist als bei Menschen, die bei Bewusstsein sind.</w:t>
            </w:r>
          </w:p>
          <w:p w:rsidR="00C65029" w:rsidRDefault="00C65029" w:rsidP="00C65029">
            <w:pPr>
              <w:rPr>
                <w:rFonts w:ascii="Arial" w:hAnsi="Arial"/>
                <w:sz w:val="20"/>
              </w:rPr>
            </w:pPr>
          </w:p>
          <w:p w:rsidR="00C65029" w:rsidRDefault="00C65029" w:rsidP="00C65029">
            <w:pPr>
              <w:pStyle w:val="berschrift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12. Was glaubst du, geschieht mit dem Ich, wenn jemand stirbt?</w:t>
            </w:r>
          </w:p>
          <w:p w:rsidR="00C65029" w:rsidRDefault="00C65029" w:rsidP="00C6502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(individuelle Antworten)</w:t>
            </w:r>
          </w:p>
          <w:p w:rsidR="00C65029" w:rsidRDefault="00C65029" w:rsidP="00C6502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EA06C1" w:rsidRPr="00F16339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D0114F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5" name="Grafik 5" descr="\\Sfblfile\schultv\03 Internet\content\schulfernsehen\ONLINE_DATEIEN\3299_dossier_ich\3299_img\3299_img_b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fblfile\schultv\03 Internet\content\schulfernsehen\ONLINE_DATEIEN\3299_dossier_ich\3299_img\3299_img_b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D0114F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6" name="Grafik 6" descr="\\Sfblfile\schultv\03 Internet\content\schulfernsehen\ONLINE_DATEIEN\3299_dossier_ich\3299_img\3299_img_b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Sfblfile\schultv\03 Internet\content\schulfernsehen\ONLINE_DATEIEN\3299_dossier_ich\3299_img\3299_img_b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EA06C1" w:rsidP="004678C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trHeight w:hRule="exact" w:val="49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60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ED5D95" w:rsidRDefault="00ED5D95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C65029" w:rsidRDefault="00C65029" w:rsidP="00C65029">
      <w:pPr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ab/>
      </w:r>
    </w:p>
    <w:p w:rsidR="00C65029" w:rsidRDefault="00C65029" w:rsidP="00C65029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C65029" w:rsidRDefault="00C65029" w:rsidP="00C65029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81"/>
        <w:gridCol w:w="6260"/>
      </w:tblGrid>
      <w:tr w:rsidR="00C65029" w:rsidRPr="00F16339" w:rsidTr="00314730">
        <w:trPr>
          <w:cantSplit/>
        </w:trPr>
        <w:tc>
          <w:tcPr>
            <w:tcW w:w="2774" w:type="dxa"/>
            <w:vMerge w:val="restart"/>
            <w:vAlign w:val="center"/>
          </w:tcPr>
          <w:p w:rsidR="00C65029" w:rsidRPr="00F1633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65029" w:rsidRPr="00F1633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C65029" w:rsidRDefault="00C65029" w:rsidP="00C65029">
            <w:pPr>
              <w:pStyle w:val="Kopfzeile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9. Menschen können sich etwa im Alter von achtzehn Jahren im Spiegel erkennen – und Tiere?</w:t>
            </w:r>
          </w:p>
          <w:p w:rsidR="00C65029" w:rsidRDefault="00C65029" w:rsidP="00C6502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Laut Remo Largo können nur andere Primaten (zum Beispiel Schi</w:t>
            </w:r>
            <w:r>
              <w:rPr>
                <w:rFonts w:ascii="Arial" w:hAnsi="Arial"/>
                <w:sz w:val="20"/>
              </w:rPr>
              <w:t>m</w:t>
            </w:r>
            <w:r>
              <w:rPr>
                <w:rFonts w:ascii="Arial" w:hAnsi="Arial"/>
                <w:sz w:val="20"/>
              </w:rPr>
              <w:t xml:space="preserve">pansen) sich selbst erkennen. </w:t>
            </w:r>
          </w:p>
          <w:p w:rsidR="00C65029" w:rsidRDefault="00C65029" w:rsidP="00C65029">
            <w:pPr>
              <w:rPr>
                <w:rFonts w:ascii="Arial" w:hAnsi="Arial"/>
                <w:sz w:val="20"/>
              </w:rPr>
            </w:pPr>
          </w:p>
          <w:p w:rsidR="00C65029" w:rsidRDefault="00C65029" w:rsidP="00C65029">
            <w:pPr>
              <w:pStyle w:val="berschrift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10. Wann ist jemand «nicht sich selber»? </w:t>
            </w:r>
          </w:p>
          <w:p w:rsidR="00C65029" w:rsidRDefault="00C65029" w:rsidP="00C6502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Subjektiv: Wenn er getrunken oder Drogen genommen hat. Auch, wenn er ausser sich vor Wut ist. Objektiv: Man ist immer sich selbst: Denn in diesen Situationen ist lediglich die Aktivität gewisser Hirnr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gionen höher als sonst.</w:t>
            </w:r>
          </w:p>
          <w:p w:rsidR="00C65029" w:rsidRDefault="00C65029" w:rsidP="00C65029">
            <w:pPr>
              <w:pStyle w:val="berschrift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11. Wie sieht ein bewusstloses Hirn aus?</w:t>
            </w:r>
          </w:p>
          <w:p w:rsidR="00C65029" w:rsidRDefault="00C65029" w:rsidP="00C6502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Man kann bewusstlosen Menschen Fotos zeigen oder Geräusche vermitteln: Dabei stellt man fest, dass die Hirnaktivität kaum anders ist als bei Menschen, die bei Bewusstsein sind.</w:t>
            </w:r>
          </w:p>
          <w:p w:rsidR="00C65029" w:rsidRDefault="00C65029" w:rsidP="00C65029">
            <w:pPr>
              <w:rPr>
                <w:rFonts w:ascii="Arial" w:hAnsi="Arial"/>
                <w:sz w:val="20"/>
              </w:rPr>
            </w:pPr>
          </w:p>
          <w:p w:rsidR="00C65029" w:rsidRDefault="00C65029" w:rsidP="00C65029">
            <w:pPr>
              <w:pStyle w:val="berschrift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12. Was glaubst du, geschieht mit dem Ich, wenn jemand stirbt?</w:t>
            </w:r>
          </w:p>
          <w:p w:rsidR="00C65029" w:rsidRDefault="00C65029" w:rsidP="00C6502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(individuelle Antworten)</w:t>
            </w:r>
          </w:p>
          <w:p w:rsidR="00C65029" w:rsidRPr="00F16339" w:rsidRDefault="00C65029" w:rsidP="00C6502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65029" w:rsidTr="00314730">
        <w:trPr>
          <w:cantSplit/>
          <w:trHeight w:hRule="exact" w:val="240"/>
        </w:trPr>
        <w:tc>
          <w:tcPr>
            <w:tcW w:w="2774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65029" w:rsidRDefault="00C65029" w:rsidP="00314730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C65029" w:rsidTr="00314730">
        <w:trPr>
          <w:cantSplit/>
          <w:trHeight w:hRule="exact" w:val="240"/>
        </w:trPr>
        <w:tc>
          <w:tcPr>
            <w:tcW w:w="2774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65029" w:rsidTr="00314730">
        <w:trPr>
          <w:cantSplit/>
          <w:trHeight w:hRule="exact" w:val="240"/>
        </w:trPr>
        <w:tc>
          <w:tcPr>
            <w:tcW w:w="2774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65029" w:rsidTr="00314730">
        <w:trPr>
          <w:cantSplit/>
          <w:trHeight w:hRule="exact" w:val="240"/>
        </w:trPr>
        <w:tc>
          <w:tcPr>
            <w:tcW w:w="2774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65029" w:rsidTr="00314730">
        <w:trPr>
          <w:cantSplit/>
          <w:trHeight w:hRule="exact" w:val="240"/>
        </w:trPr>
        <w:tc>
          <w:tcPr>
            <w:tcW w:w="2774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65029" w:rsidTr="00314730">
        <w:trPr>
          <w:cantSplit/>
          <w:trHeight w:hRule="exact" w:val="240"/>
        </w:trPr>
        <w:tc>
          <w:tcPr>
            <w:tcW w:w="2774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65029" w:rsidTr="00314730">
        <w:trPr>
          <w:cantSplit/>
          <w:trHeight w:hRule="exact" w:val="240"/>
        </w:trPr>
        <w:tc>
          <w:tcPr>
            <w:tcW w:w="2774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65029" w:rsidTr="00314730">
        <w:trPr>
          <w:cantSplit/>
          <w:trHeight w:hRule="exact" w:val="240"/>
        </w:trPr>
        <w:tc>
          <w:tcPr>
            <w:tcW w:w="2774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65029" w:rsidTr="00314730">
        <w:trPr>
          <w:cantSplit/>
        </w:trPr>
        <w:tc>
          <w:tcPr>
            <w:tcW w:w="2774" w:type="dxa"/>
            <w:vMerge w:val="restart"/>
            <w:vAlign w:val="center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65029" w:rsidTr="00314730">
        <w:trPr>
          <w:cantSplit/>
          <w:trHeight w:hRule="exact" w:val="240"/>
        </w:trPr>
        <w:tc>
          <w:tcPr>
            <w:tcW w:w="2774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65029" w:rsidTr="00314730">
        <w:trPr>
          <w:cantSplit/>
          <w:trHeight w:hRule="exact" w:val="240"/>
        </w:trPr>
        <w:tc>
          <w:tcPr>
            <w:tcW w:w="2774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65029" w:rsidTr="00314730">
        <w:trPr>
          <w:cantSplit/>
          <w:trHeight w:hRule="exact" w:val="240"/>
        </w:trPr>
        <w:tc>
          <w:tcPr>
            <w:tcW w:w="2774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65029" w:rsidTr="00314730">
        <w:trPr>
          <w:cantSplit/>
          <w:trHeight w:hRule="exact" w:val="240"/>
        </w:trPr>
        <w:tc>
          <w:tcPr>
            <w:tcW w:w="2774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65029" w:rsidTr="00314730">
        <w:trPr>
          <w:cantSplit/>
          <w:trHeight w:hRule="exact" w:val="240"/>
        </w:trPr>
        <w:tc>
          <w:tcPr>
            <w:tcW w:w="2774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65029" w:rsidTr="00314730">
        <w:trPr>
          <w:cantSplit/>
          <w:trHeight w:hRule="exact" w:val="240"/>
        </w:trPr>
        <w:tc>
          <w:tcPr>
            <w:tcW w:w="2774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65029" w:rsidTr="00314730">
        <w:trPr>
          <w:cantSplit/>
          <w:trHeight w:hRule="exact" w:val="240"/>
        </w:trPr>
        <w:tc>
          <w:tcPr>
            <w:tcW w:w="2774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65029" w:rsidTr="00314730">
        <w:trPr>
          <w:cantSplit/>
          <w:trHeight w:hRule="exact" w:val="240"/>
        </w:trPr>
        <w:tc>
          <w:tcPr>
            <w:tcW w:w="2774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65029" w:rsidTr="00314730">
        <w:trPr>
          <w:cantSplit/>
        </w:trPr>
        <w:tc>
          <w:tcPr>
            <w:tcW w:w="2774" w:type="dxa"/>
            <w:vMerge w:val="restart"/>
            <w:vAlign w:val="center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65029" w:rsidTr="00314730">
        <w:trPr>
          <w:cantSplit/>
          <w:trHeight w:hRule="exact" w:val="240"/>
        </w:trPr>
        <w:tc>
          <w:tcPr>
            <w:tcW w:w="2774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65029" w:rsidTr="00314730">
        <w:trPr>
          <w:cantSplit/>
          <w:trHeight w:hRule="exact" w:val="240"/>
        </w:trPr>
        <w:tc>
          <w:tcPr>
            <w:tcW w:w="2774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65029" w:rsidTr="00314730">
        <w:trPr>
          <w:cantSplit/>
          <w:trHeight w:hRule="exact" w:val="240"/>
        </w:trPr>
        <w:tc>
          <w:tcPr>
            <w:tcW w:w="2774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65029" w:rsidTr="00314730">
        <w:trPr>
          <w:cantSplit/>
          <w:trHeight w:hRule="exact" w:val="240"/>
        </w:trPr>
        <w:tc>
          <w:tcPr>
            <w:tcW w:w="2774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65029" w:rsidTr="00314730">
        <w:trPr>
          <w:cantSplit/>
          <w:trHeight w:hRule="exact" w:val="240"/>
        </w:trPr>
        <w:tc>
          <w:tcPr>
            <w:tcW w:w="2774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65029" w:rsidTr="00314730">
        <w:trPr>
          <w:cantSplit/>
          <w:trHeight w:hRule="exact" w:val="240"/>
        </w:trPr>
        <w:tc>
          <w:tcPr>
            <w:tcW w:w="2774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65029" w:rsidTr="00314730">
        <w:trPr>
          <w:cantSplit/>
          <w:trHeight w:hRule="exact" w:val="240"/>
        </w:trPr>
        <w:tc>
          <w:tcPr>
            <w:tcW w:w="2774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65029" w:rsidTr="00314730">
        <w:trPr>
          <w:cantSplit/>
          <w:trHeight w:hRule="exact" w:val="240"/>
        </w:trPr>
        <w:tc>
          <w:tcPr>
            <w:tcW w:w="2774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65029" w:rsidTr="00314730">
        <w:trPr>
          <w:cantSplit/>
        </w:trPr>
        <w:tc>
          <w:tcPr>
            <w:tcW w:w="2774" w:type="dxa"/>
            <w:vMerge w:val="restart"/>
            <w:vAlign w:val="center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65029" w:rsidTr="00314730">
        <w:trPr>
          <w:cantSplit/>
          <w:trHeight w:hRule="exact" w:val="240"/>
        </w:trPr>
        <w:tc>
          <w:tcPr>
            <w:tcW w:w="2774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65029" w:rsidTr="00314730">
        <w:trPr>
          <w:cantSplit/>
          <w:trHeight w:hRule="exact" w:val="240"/>
        </w:trPr>
        <w:tc>
          <w:tcPr>
            <w:tcW w:w="2774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65029" w:rsidTr="00314730">
        <w:trPr>
          <w:cantSplit/>
          <w:trHeight w:hRule="exact" w:val="240"/>
        </w:trPr>
        <w:tc>
          <w:tcPr>
            <w:tcW w:w="2774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65029" w:rsidTr="00314730">
        <w:trPr>
          <w:cantSplit/>
          <w:trHeight w:hRule="exact" w:val="240"/>
        </w:trPr>
        <w:tc>
          <w:tcPr>
            <w:tcW w:w="2774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65029" w:rsidTr="00314730">
        <w:trPr>
          <w:cantSplit/>
          <w:trHeight w:hRule="exact" w:val="240"/>
        </w:trPr>
        <w:tc>
          <w:tcPr>
            <w:tcW w:w="2774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65029" w:rsidTr="00314730">
        <w:trPr>
          <w:cantSplit/>
          <w:trHeight w:hRule="exact" w:val="240"/>
        </w:trPr>
        <w:tc>
          <w:tcPr>
            <w:tcW w:w="2774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65029" w:rsidTr="00314730">
        <w:trPr>
          <w:cantSplit/>
          <w:trHeight w:hRule="exact" w:val="240"/>
        </w:trPr>
        <w:tc>
          <w:tcPr>
            <w:tcW w:w="2774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65029" w:rsidTr="00314730">
        <w:trPr>
          <w:cantSplit/>
          <w:trHeight w:hRule="exact" w:val="240"/>
        </w:trPr>
        <w:tc>
          <w:tcPr>
            <w:tcW w:w="2774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65029" w:rsidTr="00314730">
        <w:trPr>
          <w:cantSplit/>
        </w:trPr>
        <w:tc>
          <w:tcPr>
            <w:tcW w:w="2774" w:type="dxa"/>
            <w:vMerge w:val="restart"/>
            <w:vAlign w:val="center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65029" w:rsidTr="00314730">
        <w:trPr>
          <w:cantSplit/>
          <w:trHeight w:hRule="exact" w:val="240"/>
        </w:trPr>
        <w:tc>
          <w:tcPr>
            <w:tcW w:w="2774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65029" w:rsidTr="00314730">
        <w:trPr>
          <w:cantSplit/>
          <w:trHeight w:hRule="exact" w:val="240"/>
        </w:trPr>
        <w:tc>
          <w:tcPr>
            <w:tcW w:w="2774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65029" w:rsidTr="00314730">
        <w:trPr>
          <w:cantSplit/>
          <w:trHeight w:hRule="exact" w:val="240"/>
        </w:trPr>
        <w:tc>
          <w:tcPr>
            <w:tcW w:w="2774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65029" w:rsidTr="00314730">
        <w:trPr>
          <w:cantSplit/>
          <w:trHeight w:hRule="exact" w:val="240"/>
        </w:trPr>
        <w:tc>
          <w:tcPr>
            <w:tcW w:w="2774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65029" w:rsidTr="00314730">
        <w:trPr>
          <w:cantSplit/>
          <w:trHeight w:hRule="exact" w:val="240"/>
        </w:trPr>
        <w:tc>
          <w:tcPr>
            <w:tcW w:w="2774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65029" w:rsidTr="00314730">
        <w:trPr>
          <w:cantSplit/>
          <w:trHeight w:hRule="exact" w:val="240"/>
        </w:trPr>
        <w:tc>
          <w:tcPr>
            <w:tcW w:w="2774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65029" w:rsidTr="00314730">
        <w:trPr>
          <w:cantSplit/>
          <w:trHeight w:hRule="exact" w:val="240"/>
        </w:trPr>
        <w:tc>
          <w:tcPr>
            <w:tcW w:w="2774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65029" w:rsidTr="00314730">
        <w:trPr>
          <w:trHeight w:hRule="exact" w:val="49"/>
        </w:trPr>
        <w:tc>
          <w:tcPr>
            <w:tcW w:w="2774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1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60" w:type="dxa"/>
          </w:tcPr>
          <w:p w:rsidR="00C65029" w:rsidRDefault="00C65029" w:rsidP="00314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C65029" w:rsidRDefault="00C65029" w:rsidP="00C65029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C65029" w:rsidRDefault="00C65029" w:rsidP="00C65029">
      <w:pPr>
        <w:pStyle w:val="Kopfzeile"/>
        <w:tabs>
          <w:tab w:val="clear" w:pos="4536"/>
          <w:tab w:val="clear" w:pos="9072"/>
          <w:tab w:val="left" w:pos="3885"/>
        </w:tabs>
        <w:rPr>
          <w:rFonts w:ascii="Arial" w:hAnsi="Arial"/>
          <w:sz w:val="20"/>
        </w:rPr>
      </w:pPr>
    </w:p>
    <w:p w:rsidR="00C65029" w:rsidRPr="00C65029" w:rsidRDefault="00C65029" w:rsidP="00C65029">
      <w:pPr>
        <w:tabs>
          <w:tab w:val="left" w:pos="1830"/>
        </w:tabs>
      </w:pPr>
      <w:bookmarkStart w:id="0" w:name="_GoBack"/>
      <w:bookmarkEnd w:id="0"/>
    </w:p>
    <w:sectPr w:rsidR="00C65029" w:rsidRPr="00C65029" w:rsidSect="00ED5D9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45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637" w:rsidRDefault="004A0637">
      <w:r>
        <w:separator/>
      </w:r>
    </w:p>
  </w:endnote>
  <w:endnote w:type="continuationSeparator" w:id="0">
    <w:p w:rsidR="004A0637" w:rsidRDefault="004A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A30917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A30917" w:rsidRDefault="00A30917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A3091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A30917" w:rsidRDefault="00616F3A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817E3C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817E3C" w:rsidRPr="00817E3C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2D00AC" w:rsidTr="00101BE1">
      <w:tc>
        <w:tcPr>
          <w:tcW w:w="2777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2D00AC" w:rsidRDefault="00101BE1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2D00AC" w:rsidRDefault="00616F3A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817E3C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817E3C" w:rsidRPr="00817E3C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637" w:rsidRDefault="004A0637">
      <w:r>
        <w:separator/>
      </w:r>
    </w:p>
  </w:footnote>
  <w:footnote w:type="continuationSeparator" w:id="0">
    <w:p w:rsidR="004A0637" w:rsidRDefault="004A0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8C2425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8C2425" w:rsidRDefault="00CB2E4A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24D35F0A" wp14:editId="5BF1D14E">
                <wp:extent cx="2493010" cy="698500"/>
                <wp:effectExtent l="19050" t="0" r="2540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C65029" w:rsidRDefault="00C65029" w:rsidP="00C65029">
          <w:pPr>
            <w:pStyle w:val="berschrift4"/>
            <w:spacing w:after="40"/>
            <w:jc w:val="right"/>
          </w:pPr>
          <w:r>
            <w:t xml:space="preserve">Lösungen </w:t>
          </w:r>
        </w:p>
        <w:p w:rsidR="008C2425" w:rsidRDefault="00C65029" w:rsidP="00C65029">
          <w:pPr>
            <w:pStyle w:val="berschrift4"/>
            <w:spacing w:after="40"/>
            <w:jc w:val="right"/>
          </w:pPr>
          <w:r>
            <w:t>Arbeit</w:t>
          </w:r>
          <w:r>
            <w:t>s</w:t>
          </w:r>
          <w:r>
            <w:t>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ED5D95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ED5D95">
            <w:rPr>
              <w:rFonts w:ascii="Arial" w:hAnsi="Arial"/>
              <w:b/>
              <w:bCs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ED5D95" w:rsidTr="006B29FC">
      <w:trPr>
        <w:cantSplit/>
        <w:trHeight w:val="680"/>
      </w:trPr>
      <w:tc>
        <w:tcPr>
          <w:tcW w:w="4390" w:type="dxa"/>
        </w:tcPr>
        <w:p w:rsidR="00ED5D95" w:rsidRDefault="00ED5D95" w:rsidP="006B29FC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39D48B9B" wp14:editId="29FC9E9D">
                <wp:extent cx="2493010" cy="698500"/>
                <wp:effectExtent l="19050" t="0" r="2540" b="0"/>
                <wp:docPr id="4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ED5D95" w:rsidRDefault="00ED5D95" w:rsidP="006B29FC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C65029" w:rsidRDefault="00C65029" w:rsidP="006B29FC">
          <w:pPr>
            <w:pStyle w:val="berschrift4"/>
            <w:spacing w:after="40"/>
            <w:jc w:val="right"/>
          </w:pPr>
          <w:r>
            <w:t xml:space="preserve">Lösungen </w:t>
          </w:r>
        </w:p>
        <w:p w:rsidR="00ED5D95" w:rsidRDefault="00ED5D95" w:rsidP="006B29FC">
          <w:pPr>
            <w:pStyle w:val="berschrift4"/>
            <w:spacing w:after="40"/>
            <w:jc w:val="right"/>
          </w:pPr>
          <w:r>
            <w:t>Arbeit</w:t>
          </w:r>
          <w:r>
            <w:t>s</w:t>
          </w:r>
          <w:r>
            <w:t>blatt</w:t>
          </w:r>
        </w:p>
      </w:tc>
    </w:tr>
  </w:tbl>
  <w:p w:rsidR="00ED5D95" w:rsidRDefault="00ED5D9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1009E3"/>
    <w:multiLevelType w:val="hybridMultilevel"/>
    <w:tmpl w:val="E19A4C28"/>
    <w:lvl w:ilvl="0" w:tplc="153621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4F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43CB8"/>
    <w:rsid w:val="001467F6"/>
    <w:rsid w:val="00166279"/>
    <w:rsid w:val="001B3C76"/>
    <w:rsid w:val="002049FF"/>
    <w:rsid w:val="002338AA"/>
    <w:rsid w:val="00233B90"/>
    <w:rsid w:val="00252EBE"/>
    <w:rsid w:val="002558F8"/>
    <w:rsid w:val="00257F9B"/>
    <w:rsid w:val="002D00AC"/>
    <w:rsid w:val="00323D0D"/>
    <w:rsid w:val="00330A77"/>
    <w:rsid w:val="003429F6"/>
    <w:rsid w:val="00386420"/>
    <w:rsid w:val="00386693"/>
    <w:rsid w:val="00417156"/>
    <w:rsid w:val="0044293F"/>
    <w:rsid w:val="004678C1"/>
    <w:rsid w:val="00480092"/>
    <w:rsid w:val="00485C23"/>
    <w:rsid w:val="004A0637"/>
    <w:rsid w:val="004B6E8A"/>
    <w:rsid w:val="004D49D5"/>
    <w:rsid w:val="004E267D"/>
    <w:rsid w:val="004E5D66"/>
    <w:rsid w:val="0058095E"/>
    <w:rsid w:val="005841F8"/>
    <w:rsid w:val="005D1E03"/>
    <w:rsid w:val="005D7D38"/>
    <w:rsid w:val="005F6BBF"/>
    <w:rsid w:val="00614018"/>
    <w:rsid w:val="00616F3A"/>
    <w:rsid w:val="006A3A72"/>
    <w:rsid w:val="006E2F5F"/>
    <w:rsid w:val="006F0AE2"/>
    <w:rsid w:val="0070285A"/>
    <w:rsid w:val="00715007"/>
    <w:rsid w:val="007325C6"/>
    <w:rsid w:val="00766C9D"/>
    <w:rsid w:val="007776A8"/>
    <w:rsid w:val="007B0B1A"/>
    <w:rsid w:val="007F5172"/>
    <w:rsid w:val="00817E3C"/>
    <w:rsid w:val="00826008"/>
    <w:rsid w:val="008B2AC2"/>
    <w:rsid w:val="008C2425"/>
    <w:rsid w:val="00976744"/>
    <w:rsid w:val="0098167D"/>
    <w:rsid w:val="0098392B"/>
    <w:rsid w:val="00A120DD"/>
    <w:rsid w:val="00A2380F"/>
    <w:rsid w:val="00A30917"/>
    <w:rsid w:val="00A427DC"/>
    <w:rsid w:val="00A44367"/>
    <w:rsid w:val="00A82058"/>
    <w:rsid w:val="00A97938"/>
    <w:rsid w:val="00AB76C5"/>
    <w:rsid w:val="00B07FF4"/>
    <w:rsid w:val="00B34CB3"/>
    <w:rsid w:val="00B4742B"/>
    <w:rsid w:val="00B87E56"/>
    <w:rsid w:val="00BB2564"/>
    <w:rsid w:val="00C15202"/>
    <w:rsid w:val="00C33582"/>
    <w:rsid w:val="00C52C83"/>
    <w:rsid w:val="00C65029"/>
    <w:rsid w:val="00C712A2"/>
    <w:rsid w:val="00C807C6"/>
    <w:rsid w:val="00C93A67"/>
    <w:rsid w:val="00CB15CC"/>
    <w:rsid w:val="00CB2E4A"/>
    <w:rsid w:val="00CE62FC"/>
    <w:rsid w:val="00D0114F"/>
    <w:rsid w:val="00D06954"/>
    <w:rsid w:val="00D34455"/>
    <w:rsid w:val="00DD166A"/>
    <w:rsid w:val="00DE57F4"/>
    <w:rsid w:val="00E25EBF"/>
    <w:rsid w:val="00E8137B"/>
    <w:rsid w:val="00E93606"/>
    <w:rsid w:val="00EA06C1"/>
    <w:rsid w:val="00EA4561"/>
    <w:rsid w:val="00EC5921"/>
    <w:rsid w:val="00ED0463"/>
    <w:rsid w:val="00ED5D95"/>
    <w:rsid w:val="00EF6A64"/>
    <w:rsid w:val="00F16339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Deutsch\Vorlage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C67F7-4E00-4FD4-9E37-DB325488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Arbeitsblatt.dotx</Template>
  <TotalTime>0</TotalTime>
  <Pages>1</Pages>
  <Words>553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4029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Spinas, Andreas</dc:creator>
  <cp:lastModifiedBy>Spinas, Andreas</cp:lastModifiedBy>
  <cp:revision>4</cp:revision>
  <cp:lastPrinted>2012-05-30T07:46:00Z</cp:lastPrinted>
  <dcterms:created xsi:type="dcterms:W3CDTF">2012-05-30T07:46:00Z</dcterms:created>
  <dcterms:modified xsi:type="dcterms:W3CDTF">2012-05-30T07:47:00Z</dcterms:modified>
  <cp:category>Zuma Vorlage phe</cp:category>
</cp:coreProperties>
</file>